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A7CA7">
      <w:pPr>
        <w:spacing w:after="160" w:line="312" w:lineRule="auto"/>
        <w:jc w:val="center"/>
      </w:pPr>
      <w:r>
        <w:rPr>
          <w:rFonts w:ascii="Times New Roman" w:hAnsi="Times New Roman" w:eastAsia="黑体"/>
          <w:b w:val="0"/>
          <w:color w:val="000000"/>
          <w:sz w:val="36"/>
        </w:rPr>
        <w:t>2026年度个人招生工作总结</w:t>
      </w:r>
    </w:p>
    <w:p w14:paraId="48D81E1F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姓名：刘伟　　部门：招生处</w:t>
      </w:r>
    </w:p>
    <w:p w14:paraId="09B6ED62">
      <w:pPr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责任区域：赣县区、上犹县、大余县、崇义县、信丰县、瑞金市</w:t>
      </w:r>
    </w:p>
    <w:p w14:paraId="39AFA388">
      <w:pPr>
        <w:spacing w:before="40" w:after="80" w:line="336" w:lineRule="auto"/>
        <w:rPr>
          <w:sz w:val="30"/>
          <w:szCs w:val="30"/>
        </w:rPr>
      </w:pPr>
      <w:r>
        <w:rPr>
          <w:rFonts w:ascii="Times New Roman" w:hAnsi="Times New Roman" w:eastAsia="黑体"/>
          <w:b w:val="0"/>
          <w:color w:val="000000"/>
          <w:sz w:val="30"/>
          <w:szCs w:val="30"/>
        </w:rPr>
        <w:t>一、个人区域招生完成情况</w:t>
      </w:r>
    </w:p>
    <w:p w14:paraId="4EDDEA9E">
      <w:pPr>
        <w:spacing w:before="0" w:after="0" w:line="360" w:lineRule="auto"/>
        <w:ind w:firstLine="480"/>
        <w:rPr>
          <w:rFonts w:hint="eastAsia"/>
          <w:b w:val="0"/>
          <w:color w:val="000000"/>
          <w:sz w:val="24"/>
          <w:lang w:eastAsia="zh-CN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任务</w:t>
      </w:r>
      <w:r>
        <w:rPr>
          <w:rFonts w:hint="eastAsia"/>
          <w:b w:val="0"/>
          <w:color w:val="000000"/>
          <w:sz w:val="24"/>
          <w:lang w:val="en-US" w:eastAsia="zh-CN"/>
        </w:rPr>
        <w:t>数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100 人，实际录取 104 人，完成率 104%（超额 4 人）；实际报到 88 人，未报到 16 人，报到率 84.6%</w:t>
      </w:r>
      <w:r>
        <w:rPr>
          <w:rFonts w:hint="eastAsia"/>
          <w:b w:val="0"/>
          <w:color w:val="000000"/>
          <w:sz w:val="24"/>
          <w:lang w:eastAsia="zh-CN"/>
        </w:rPr>
        <w:t>。</w:t>
      </w:r>
    </w:p>
    <w:p w14:paraId="76302FB6">
      <w:pPr>
        <w:spacing w:before="0" w:after="0" w:line="360" w:lineRule="auto"/>
        <w:ind w:firstLine="480"/>
        <w:rPr>
          <w:rFonts w:hint="default"/>
          <w:b w:val="0"/>
          <w:color w:val="000000"/>
          <w:sz w:val="24"/>
          <w:lang w:val="en-US" w:eastAsia="zh-CN"/>
        </w:rPr>
      </w:pPr>
      <w:r>
        <w:rPr>
          <w:rFonts w:hint="eastAsia"/>
          <w:b w:val="0"/>
          <w:color w:val="000000"/>
          <w:sz w:val="24"/>
          <w:lang w:val="en-US" w:eastAsia="zh-CN"/>
        </w:rPr>
        <w:t>五年一贯制报到4人。</w:t>
      </w:r>
    </w:p>
    <w:p w14:paraId="55277184">
      <w:pPr>
        <w:spacing w:before="120" w:after="60" w:line="336" w:lineRule="auto"/>
        <w:rPr>
          <w:sz w:val="28"/>
          <w:szCs w:val="28"/>
        </w:rPr>
      </w:pPr>
      <w:r>
        <w:rPr>
          <w:rFonts w:ascii="Times New Roman" w:hAnsi="Times New Roman" w:eastAsia="黑体"/>
          <w:b w:val="0"/>
          <w:color w:val="000000"/>
          <w:sz w:val="28"/>
          <w:szCs w:val="28"/>
        </w:rPr>
        <w:t>（一）分批次情况</w:t>
      </w:r>
    </w:p>
    <w:p w14:paraId="48587BE1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统招报到质量明显</w:t>
      </w:r>
      <w:r>
        <w:rPr>
          <w:rFonts w:hint="eastAsia"/>
          <w:b w:val="0"/>
          <w:color w:val="000000"/>
          <w:sz w:val="24"/>
          <w:lang w:val="en-US" w:eastAsia="zh-CN"/>
        </w:rPr>
        <w:t>高于</w:t>
      </w:r>
      <w:r>
        <w:rPr>
          <w:rFonts w:ascii="Times New Roman" w:hAnsi="Times New Roman" w:eastAsia="宋体"/>
          <w:b w:val="0"/>
          <w:color w:val="000000"/>
          <w:sz w:val="24"/>
        </w:rPr>
        <w:t>单招，两者相差 9.8 个百分点，单招录取后的报到转化是全年最薄弱环节。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662"/>
        <w:gridCol w:w="1662"/>
        <w:gridCol w:w="1662"/>
        <w:gridCol w:w="1662"/>
      </w:tblGrid>
      <w:tr w14:paraId="468A797D">
        <w:trPr>
          <w:tblHeader/>
          <w:jc w:val="center"/>
        </w:trPr>
        <w:tc>
          <w:tcPr>
            <w:tcW w:w="1662" w:type="dxa"/>
            <w:vAlign w:val="center"/>
          </w:tcPr>
          <w:p w14:paraId="79F02C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批次</w:t>
            </w:r>
          </w:p>
        </w:tc>
        <w:tc>
          <w:tcPr>
            <w:tcW w:w="1662" w:type="dxa"/>
            <w:vAlign w:val="center"/>
          </w:tcPr>
          <w:p w14:paraId="7420A8D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录取数</w:t>
            </w:r>
          </w:p>
        </w:tc>
        <w:tc>
          <w:tcPr>
            <w:tcW w:w="1662" w:type="dxa"/>
            <w:vAlign w:val="center"/>
          </w:tcPr>
          <w:p w14:paraId="6DB3A2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报到数</w:t>
            </w:r>
          </w:p>
        </w:tc>
        <w:tc>
          <w:tcPr>
            <w:tcW w:w="1662" w:type="dxa"/>
            <w:vAlign w:val="center"/>
          </w:tcPr>
          <w:p w14:paraId="32D6692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未报到</w:t>
            </w:r>
          </w:p>
        </w:tc>
        <w:tc>
          <w:tcPr>
            <w:tcW w:w="1662" w:type="dxa"/>
            <w:vAlign w:val="center"/>
          </w:tcPr>
          <w:p w14:paraId="7CF784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报到率</w:t>
            </w:r>
          </w:p>
        </w:tc>
      </w:tr>
      <w:tr w14:paraId="7ABE87B0">
        <w:trPr>
          <w:jc w:val="center"/>
        </w:trPr>
        <w:tc>
          <w:tcPr>
            <w:tcW w:w="1662" w:type="dxa"/>
            <w:vAlign w:val="center"/>
          </w:tcPr>
          <w:p w14:paraId="43868A2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单招</w:t>
            </w:r>
          </w:p>
        </w:tc>
        <w:tc>
          <w:tcPr>
            <w:tcW w:w="1662" w:type="dxa"/>
            <w:vAlign w:val="center"/>
          </w:tcPr>
          <w:p w14:paraId="30F9E6C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55</w:t>
            </w:r>
          </w:p>
        </w:tc>
        <w:tc>
          <w:tcPr>
            <w:tcW w:w="1662" w:type="dxa"/>
            <w:vAlign w:val="center"/>
          </w:tcPr>
          <w:p w14:paraId="195D5A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44</w:t>
            </w:r>
          </w:p>
        </w:tc>
        <w:tc>
          <w:tcPr>
            <w:tcW w:w="1662" w:type="dxa"/>
            <w:vAlign w:val="center"/>
          </w:tcPr>
          <w:p w14:paraId="218683A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w="1662" w:type="dxa"/>
            <w:vAlign w:val="center"/>
          </w:tcPr>
          <w:p w14:paraId="363849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80.0%</w:t>
            </w:r>
          </w:p>
        </w:tc>
      </w:tr>
      <w:tr w14:paraId="3EBA89D1">
        <w:trPr>
          <w:jc w:val="center"/>
        </w:trPr>
        <w:tc>
          <w:tcPr>
            <w:tcW w:w="1662" w:type="dxa"/>
            <w:vAlign w:val="center"/>
          </w:tcPr>
          <w:p w14:paraId="418E478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统招</w:t>
            </w:r>
          </w:p>
        </w:tc>
        <w:tc>
          <w:tcPr>
            <w:tcW w:w="1662" w:type="dxa"/>
            <w:vAlign w:val="center"/>
          </w:tcPr>
          <w:p w14:paraId="602DAD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49</w:t>
            </w:r>
          </w:p>
        </w:tc>
        <w:tc>
          <w:tcPr>
            <w:tcW w:w="1662" w:type="dxa"/>
            <w:vAlign w:val="center"/>
          </w:tcPr>
          <w:p w14:paraId="5FCF9B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44</w:t>
            </w:r>
          </w:p>
        </w:tc>
        <w:tc>
          <w:tcPr>
            <w:tcW w:w="1662" w:type="dxa"/>
            <w:vAlign w:val="center"/>
          </w:tcPr>
          <w:p w14:paraId="37B29D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662" w:type="dxa"/>
            <w:vAlign w:val="center"/>
          </w:tcPr>
          <w:p w14:paraId="75D32E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89.8%</w:t>
            </w:r>
          </w:p>
        </w:tc>
      </w:tr>
      <w:tr w14:paraId="04EE0044">
        <w:trPr>
          <w:jc w:val="center"/>
        </w:trPr>
        <w:tc>
          <w:tcPr>
            <w:tcW w:w="1662" w:type="dxa"/>
            <w:vAlign w:val="center"/>
          </w:tcPr>
          <w:p w14:paraId="4EB9FE9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w="1662" w:type="dxa"/>
            <w:vAlign w:val="center"/>
          </w:tcPr>
          <w:p w14:paraId="363C50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104</w:t>
            </w:r>
          </w:p>
        </w:tc>
        <w:tc>
          <w:tcPr>
            <w:tcW w:w="1662" w:type="dxa"/>
            <w:vAlign w:val="center"/>
          </w:tcPr>
          <w:p w14:paraId="58FCA5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88</w:t>
            </w:r>
          </w:p>
        </w:tc>
        <w:tc>
          <w:tcPr>
            <w:tcW w:w="1662" w:type="dxa"/>
            <w:vAlign w:val="center"/>
          </w:tcPr>
          <w:p w14:paraId="215580A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w="1662" w:type="dxa"/>
            <w:vAlign w:val="center"/>
          </w:tcPr>
          <w:p w14:paraId="097EE1A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84.6%</w:t>
            </w:r>
          </w:p>
        </w:tc>
      </w:tr>
    </w:tbl>
    <w:p w14:paraId="2ECF2A28">
      <w:pPr>
        <w:spacing w:before="0" w:after="0" w:line="240" w:lineRule="auto"/>
      </w:pPr>
    </w:p>
    <w:p w14:paraId="0BAC3D44">
      <w:pPr>
        <w:spacing w:before="120" w:after="60" w:line="336" w:lineRule="auto"/>
      </w:pPr>
      <w:r>
        <w:rPr>
          <w:rFonts w:ascii="Times New Roman" w:hAnsi="Times New Roman" w:eastAsia="黑体"/>
          <w:b w:val="0"/>
          <w:color w:val="000000"/>
          <w:sz w:val="28"/>
        </w:rPr>
        <w:t>（二）分区域情况</w:t>
      </w:r>
    </w:p>
    <w:p w14:paraId="1F5CA756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六个区域两极分化：上犹、大余、赣县报到率均在 90% 以上；而体量最大、占录取总数 47.1% 的信丰县仅 77.6%。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8"/>
        <w:gridCol w:w="1781"/>
        <w:gridCol w:w="1781"/>
        <w:gridCol w:w="1781"/>
      </w:tblGrid>
      <w:tr w14:paraId="1A4DA1C7">
        <w:trPr>
          <w:tblHeader/>
          <w:jc w:val="center"/>
        </w:trPr>
        <w:tc>
          <w:tcPr>
            <w:tcW w:w="2968" w:type="dxa"/>
            <w:vAlign w:val="center"/>
          </w:tcPr>
          <w:p w14:paraId="29D4AC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区域</w:t>
            </w:r>
          </w:p>
        </w:tc>
        <w:tc>
          <w:tcPr>
            <w:tcW w:w="1781" w:type="dxa"/>
            <w:vAlign w:val="center"/>
          </w:tcPr>
          <w:p w14:paraId="3DA6950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录取数</w:t>
            </w:r>
          </w:p>
        </w:tc>
        <w:tc>
          <w:tcPr>
            <w:tcW w:w="1781" w:type="dxa"/>
            <w:vAlign w:val="center"/>
          </w:tcPr>
          <w:p w14:paraId="1477BE8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报到数</w:t>
            </w:r>
          </w:p>
        </w:tc>
        <w:tc>
          <w:tcPr>
            <w:tcW w:w="1781" w:type="dxa"/>
            <w:vAlign w:val="center"/>
          </w:tcPr>
          <w:p w14:paraId="1FD13A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报到率</w:t>
            </w:r>
          </w:p>
        </w:tc>
      </w:tr>
      <w:tr w14:paraId="2AE631E9">
        <w:trPr>
          <w:jc w:val="center"/>
        </w:trPr>
        <w:tc>
          <w:tcPr>
            <w:tcW w:w="2968" w:type="dxa"/>
            <w:vAlign w:val="center"/>
          </w:tcPr>
          <w:p w14:paraId="3FC9840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上犹县</w:t>
            </w:r>
          </w:p>
        </w:tc>
        <w:tc>
          <w:tcPr>
            <w:tcW w:w="1781" w:type="dxa"/>
            <w:vAlign w:val="center"/>
          </w:tcPr>
          <w:p w14:paraId="64FC4EE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w="1781" w:type="dxa"/>
            <w:vAlign w:val="center"/>
          </w:tcPr>
          <w:p w14:paraId="6A0F75E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w="1781" w:type="dxa"/>
            <w:vAlign w:val="center"/>
          </w:tcPr>
          <w:p w14:paraId="1BC854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100%</w:t>
            </w:r>
          </w:p>
        </w:tc>
      </w:tr>
      <w:tr w14:paraId="2AB341D4">
        <w:trPr>
          <w:jc w:val="center"/>
        </w:trPr>
        <w:tc>
          <w:tcPr>
            <w:tcW w:w="2968" w:type="dxa"/>
            <w:vAlign w:val="center"/>
          </w:tcPr>
          <w:p w14:paraId="49CDF09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大余县</w:t>
            </w:r>
          </w:p>
        </w:tc>
        <w:tc>
          <w:tcPr>
            <w:tcW w:w="1781" w:type="dxa"/>
            <w:vAlign w:val="center"/>
          </w:tcPr>
          <w:p w14:paraId="53A9C0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w="1781" w:type="dxa"/>
            <w:vAlign w:val="center"/>
          </w:tcPr>
          <w:p w14:paraId="23B868B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w="1781" w:type="dxa"/>
            <w:vAlign w:val="center"/>
          </w:tcPr>
          <w:p w14:paraId="7AD919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93.3%</w:t>
            </w:r>
          </w:p>
        </w:tc>
      </w:tr>
      <w:tr w14:paraId="29128011">
        <w:trPr>
          <w:jc w:val="center"/>
        </w:trPr>
        <w:tc>
          <w:tcPr>
            <w:tcW w:w="2968" w:type="dxa"/>
            <w:vAlign w:val="center"/>
          </w:tcPr>
          <w:p w14:paraId="299AE34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赣县区</w:t>
            </w:r>
          </w:p>
        </w:tc>
        <w:tc>
          <w:tcPr>
            <w:tcW w:w="1781" w:type="dxa"/>
            <w:vAlign w:val="center"/>
          </w:tcPr>
          <w:p w14:paraId="54376FA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w="1781" w:type="dxa"/>
            <w:vAlign w:val="center"/>
          </w:tcPr>
          <w:p w14:paraId="427A1A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w="1781" w:type="dxa"/>
            <w:vAlign w:val="center"/>
          </w:tcPr>
          <w:p w14:paraId="0BB7D6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91.7%</w:t>
            </w:r>
          </w:p>
        </w:tc>
      </w:tr>
      <w:tr w14:paraId="1FDA9D1A">
        <w:trPr>
          <w:jc w:val="center"/>
        </w:trPr>
        <w:tc>
          <w:tcPr>
            <w:tcW w:w="2968" w:type="dxa"/>
            <w:vAlign w:val="center"/>
          </w:tcPr>
          <w:p w14:paraId="72E520C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瑞金市</w:t>
            </w:r>
          </w:p>
        </w:tc>
        <w:tc>
          <w:tcPr>
            <w:tcW w:w="1781" w:type="dxa"/>
            <w:vAlign w:val="center"/>
          </w:tcPr>
          <w:p w14:paraId="196536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1781" w:type="dxa"/>
            <w:vAlign w:val="center"/>
          </w:tcPr>
          <w:p w14:paraId="1453A8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1781" w:type="dxa"/>
            <w:vAlign w:val="center"/>
          </w:tcPr>
          <w:p w14:paraId="14A7B11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77.8%</w:t>
            </w:r>
          </w:p>
        </w:tc>
      </w:tr>
      <w:tr w14:paraId="27A18C6C">
        <w:trPr>
          <w:jc w:val="center"/>
        </w:trPr>
        <w:tc>
          <w:tcPr>
            <w:tcW w:w="2968" w:type="dxa"/>
            <w:vAlign w:val="center"/>
          </w:tcPr>
          <w:p w14:paraId="75D0E3B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信丰县</w:t>
            </w:r>
          </w:p>
        </w:tc>
        <w:tc>
          <w:tcPr>
            <w:tcW w:w="1781" w:type="dxa"/>
            <w:vAlign w:val="center"/>
          </w:tcPr>
          <w:p w14:paraId="01D179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49</w:t>
            </w:r>
          </w:p>
        </w:tc>
        <w:tc>
          <w:tcPr>
            <w:tcW w:w="1781" w:type="dxa"/>
            <w:vAlign w:val="center"/>
          </w:tcPr>
          <w:p w14:paraId="6465DA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</w:t>
            </w:r>
          </w:p>
        </w:tc>
        <w:tc>
          <w:tcPr>
            <w:tcW w:w="1781" w:type="dxa"/>
            <w:vAlign w:val="center"/>
          </w:tcPr>
          <w:p w14:paraId="32B0EA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77.6%</w:t>
            </w:r>
          </w:p>
        </w:tc>
      </w:tr>
      <w:tr w14:paraId="27C91E1B">
        <w:trPr>
          <w:jc w:val="center"/>
        </w:trPr>
        <w:tc>
          <w:tcPr>
            <w:tcW w:w="2968" w:type="dxa"/>
            <w:vAlign w:val="center"/>
          </w:tcPr>
          <w:p w14:paraId="1E7D875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崇义县</w:t>
            </w:r>
          </w:p>
        </w:tc>
        <w:tc>
          <w:tcPr>
            <w:tcW w:w="1781" w:type="dxa"/>
            <w:vAlign w:val="center"/>
          </w:tcPr>
          <w:p w14:paraId="213B93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781" w:type="dxa"/>
            <w:vAlign w:val="center"/>
          </w:tcPr>
          <w:p w14:paraId="0272D24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781" w:type="dxa"/>
            <w:vAlign w:val="center"/>
          </w:tcPr>
          <w:p w14:paraId="7F0AC0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66.7%</w:t>
            </w:r>
          </w:p>
        </w:tc>
      </w:tr>
      <w:tr w14:paraId="0D4401D3">
        <w:trPr>
          <w:jc w:val="center"/>
        </w:trPr>
        <w:tc>
          <w:tcPr>
            <w:tcW w:w="2968" w:type="dxa"/>
            <w:vAlign w:val="center"/>
          </w:tcPr>
          <w:p w14:paraId="5788F60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区域外生源</w:t>
            </w:r>
          </w:p>
        </w:tc>
        <w:tc>
          <w:tcPr>
            <w:tcW w:w="1781" w:type="dxa"/>
            <w:vAlign w:val="center"/>
          </w:tcPr>
          <w:p w14:paraId="05CC8F0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781" w:type="dxa"/>
            <w:vAlign w:val="center"/>
          </w:tcPr>
          <w:p w14:paraId="2CF2C5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781" w:type="dxa"/>
            <w:vAlign w:val="center"/>
          </w:tcPr>
          <w:p w14:paraId="3DD752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100%</w:t>
            </w:r>
          </w:p>
        </w:tc>
      </w:tr>
      <w:tr w14:paraId="54334874">
        <w:trPr>
          <w:jc w:val="center"/>
        </w:trPr>
        <w:tc>
          <w:tcPr>
            <w:tcW w:w="2968" w:type="dxa"/>
            <w:vAlign w:val="center"/>
          </w:tcPr>
          <w:p w14:paraId="40B1647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w="1781" w:type="dxa"/>
            <w:vAlign w:val="center"/>
          </w:tcPr>
          <w:p w14:paraId="581D63A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104</w:t>
            </w:r>
          </w:p>
        </w:tc>
        <w:tc>
          <w:tcPr>
            <w:tcW w:w="1781" w:type="dxa"/>
            <w:vAlign w:val="center"/>
          </w:tcPr>
          <w:p w14:paraId="728B00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88</w:t>
            </w:r>
          </w:p>
        </w:tc>
        <w:tc>
          <w:tcPr>
            <w:tcW w:w="1781" w:type="dxa"/>
            <w:vAlign w:val="center"/>
          </w:tcPr>
          <w:p w14:paraId="513DECA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84.6%</w:t>
            </w:r>
          </w:p>
        </w:tc>
      </w:tr>
    </w:tbl>
    <w:p w14:paraId="26D05EE9">
      <w:pPr>
        <w:spacing w:before="0" w:after="0" w:line="240" w:lineRule="auto"/>
      </w:pPr>
    </w:p>
    <w:p w14:paraId="1EE5DDD7">
      <w:pPr>
        <w:spacing w:before="120" w:after="60" w:line="336" w:lineRule="auto"/>
      </w:pPr>
      <w:r>
        <w:rPr>
          <w:rFonts w:ascii="Times New Roman" w:hAnsi="Times New Roman" w:eastAsia="黑体"/>
          <w:b w:val="0"/>
          <w:color w:val="000000"/>
          <w:sz w:val="28"/>
        </w:rPr>
        <w:t>（三）分专业情况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9"/>
        <w:gridCol w:w="1474"/>
        <w:gridCol w:w="1474"/>
        <w:gridCol w:w="1474"/>
      </w:tblGrid>
      <w:tr w14:paraId="30A90F7D">
        <w:trPr>
          <w:tblHeader/>
          <w:jc w:val="center"/>
        </w:trPr>
        <w:tc>
          <w:tcPr>
            <w:tcW w:w="3889" w:type="dxa"/>
            <w:vAlign w:val="center"/>
          </w:tcPr>
          <w:p w14:paraId="6FACF9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专业</w:t>
            </w:r>
          </w:p>
        </w:tc>
        <w:tc>
          <w:tcPr>
            <w:tcW w:w="1474" w:type="dxa"/>
            <w:vAlign w:val="center"/>
          </w:tcPr>
          <w:p w14:paraId="3CA756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录取数</w:t>
            </w:r>
          </w:p>
        </w:tc>
        <w:tc>
          <w:tcPr>
            <w:tcW w:w="1474" w:type="dxa"/>
            <w:vAlign w:val="center"/>
          </w:tcPr>
          <w:p w14:paraId="0B227B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报到数</w:t>
            </w:r>
          </w:p>
        </w:tc>
        <w:tc>
          <w:tcPr>
            <w:tcW w:w="1474" w:type="dxa"/>
            <w:vAlign w:val="center"/>
          </w:tcPr>
          <w:p w14:paraId="01D7CF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报到率</w:t>
            </w:r>
          </w:p>
        </w:tc>
      </w:tr>
      <w:tr w14:paraId="1B1D681B">
        <w:trPr>
          <w:jc w:val="center"/>
        </w:trPr>
        <w:tc>
          <w:tcPr>
            <w:tcW w:w="3889" w:type="dxa"/>
            <w:vAlign w:val="center"/>
          </w:tcPr>
          <w:p w14:paraId="169431C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中药学</w:t>
            </w:r>
          </w:p>
        </w:tc>
        <w:tc>
          <w:tcPr>
            <w:tcW w:w="1474" w:type="dxa"/>
            <w:vAlign w:val="center"/>
          </w:tcPr>
          <w:p w14:paraId="37AACEC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w="1474" w:type="dxa"/>
            <w:vAlign w:val="center"/>
          </w:tcPr>
          <w:p w14:paraId="226E7B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w="1474" w:type="dxa"/>
            <w:vAlign w:val="center"/>
          </w:tcPr>
          <w:p w14:paraId="7E8AC5C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81.5%</w:t>
            </w:r>
          </w:p>
        </w:tc>
      </w:tr>
      <w:tr w14:paraId="01E728DC">
        <w:trPr>
          <w:jc w:val="center"/>
        </w:trPr>
        <w:tc>
          <w:tcPr>
            <w:tcW w:w="3889" w:type="dxa"/>
            <w:vAlign w:val="center"/>
          </w:tcPr>
          <w:p w14:paraId="440AC39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康复治疗技术</w:t>
            </w:r>
          </w:p>
        </w:tc>
        <w:tc>
          <w:tcPr>
            <w:tcW w:w="1474" w:type="dxa"/>
            <w:vAlign w:val="center"/>
          </w:tcPr>
          <w:p w14:paraId="6650BD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w="1474" w:type="dxa"/>
            <w:vAlign w:val="center"/>
          </w:tcPr>
          <w:p w14:paraId="55CAFB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w="1474" w:type="dxa"/>
            <w:vAlign w:val="center"/>
          </w:tcPr>
          <w:p w14:paraId="0B23AC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86.4%</w:t>
            </w:r>
          </w:p>
        </w:tc>
      </w:tr>
      <w:tr w14:paraId="58ACD2AB">
        <w:trPr>
          <w:jc w:val="center"/>
        </w:trPr>
        <w:tc>
          <w:tcPr>
            <w:tcW w:w="3889" w:type="dxa"/>
            <w:vAlign w:val="center"/>
          </w:tcPr>
          <w:p w14:paraId="051D6DE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中药制药</w:t>
            </w:r>
          </w:p>
        </w:tc>
        <w:tc>
          <w:tcPr>
            <w:tcW w:w="1474" w:type="dxa"/>
            <w:vAlign w:val="center"/>
          </w:tcPr>
          <w:p w14:paraId="30B57C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1474" w:type="dxa"/>
            <w:vAlign w:val="center"/>
          </w:tcPr>
          <w:p w14:paraId="1B116FD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1474" w:type="dxa"/>
            <w:vAlign w:val="center"/>
          </w:tcPr>
          <w:p w14:paraId="75E3F1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90.0%</w:t>
            </w:r>
          </w:p>
        </w:tc>
      </w:tr>
      <w:tr w14:paraId="6AA4E1C0">
        <w:trPr>
          <w:jc w:val="center"/>
        </w:trPr>
        <w:tc>
          <w:tcPr>
            <w:tcW w:w="3889" w:type="dxa"/>
            <w:vAlign w:val="center"/>
          </w:tcPr>
          <w:p w14:paraId="6A57F8B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中医康复技术</w:t>
            </w:r>
          </w:p>
        </w:tc>
        <w:tc>
          <w:tcPr>
            <w:tcW w:w="1474" w:type="dxa"/>
            <w:vAlign w:val="center"/>
          </w:tcPr>
          <w:p w14:paraId="2F398BF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1474" w:type="dxa"/>
            <w:vAlign w:val="center"/>
          </w:tcPr>
          <w:p w14:paraId="24945ED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1474" w:type="dxa"/>
            <w:vAlign w:val="center"/>
          </w:tcPr>
          <w:p w14:paraId="564CE0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70.0%</w:t>
            </w:r>
          </w:p>
        </w:tc>
      </w:tr>
      <w:tr w14:paraId="71B174F0">
        <w:trPr>
          <w:jc w:val="center"/>
        </w:trPr>
        <w:tc>
          <w:tcPr>
            <w:tcW w:w="3889" w:type="dxa"/>
            <w:vAlign w:val="center"/>
          </w:tcPr>
          <w:p w14:paraId="6E38B41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护理</w:t>
            </w:r>
          </w:p>
        </w:tc>
        <w:tc>
          <w:tcPr>
            <w:tcW w:w="1474" w:type="dxa"/>
            <w:vAlign w:val="center"/>
          </w:tcPr>
          <w:p w14:paraId="4FF8239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1474" w:type="dxa"/>
            <w:vAlign w:val="center"/>
          </w:tcPr>
          <w:p w14:paraId="1C61CFF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1474" w:type="dxa"/>
            <w:vAlign w:val="center"/>
          </w:tcPr>
          <w:p w14:paraId="27E6668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100%</w:t>
            </w:r>
          </w:p>
        </w:tc>
      </w:tr>
      <w:tr w14:paraId="15D13074">
        <w:trPr>
          <w:jc w:val="center"/>
        </w:trPr>
        <w:tc>
          <w:tcPr>
            <w:tcW w:w="3889" w:type="dxa"/>
            <w:vAlign w:val="center"/>
          </w:tcPr>
          <w:p w14:paraId="30C34C0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药品经营与管理</w:t>
            </w:r>
          </w:p>
        </w:tc>
        <w:tc>
          <w:tcPr>
            <w:tcW w:w="1474" w:type="dxa"/>
            <w:vAlign w:val="center"/>
          </w:tcPr>
          <w:p w14:paraId="20A4B7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1474" w:type="dxa"/>
            <w:vAlign w:val="center"/>
          </w:tcPr>
          <w:p w14:paraId="65E6A4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1474" w:type="dxa"/>
            <w:vAlign w:val="center"/>
          </w:tcPr>
          <w:p w14:paraId="465712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100%</w:t>
            </w:r>
          </w:p>
        </w:tc>
      </w:tr>
      <w:tr w14:paraId="5B2C312D">
        <w:trPr>
          <w:jc w:val="center"/>
        </w:trPr>
        <w:tc>
          <w:tcPr>
            <w:tcW w:w="3889" w:type="dxa"/>
            <w:vAlign w:val="center"/>
          </w:tcPr>
          <w:p w14:paraId="24CC463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中药材生产与加工</w:t>
            </w:r>
          </w:p>
        </w:tc>
        <w:tc>
          <w:tcPr>
            <w:tcW w:w="1474" w:type="dxa"/>
            <w:vAlign w:val="center"/>
          </w:tcPr>
          <w:p w14:paraId="6C4DE7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474" w:type="dxa"/>
            <w:vAlign w:val="center"/>
          </w:tcPr>
          <w:p w14:paraId="1B4069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474" w:type="dxa"/>
            <w:vAlign w:val="center"/>
          </w:tcPr>
          <w:p w14:paraId="403BF25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83.3%</w:t>
            </w:r>
          </w:p>
        </w:tc>
      </w:tr>
      <w:tr w14:paraId="55A4BA38">
        <w:trPr>
          <w:jc w:val="center"/>
        </w:trPr>
        <w:tc>
          <w:tcPr>
            <w:tcW w:w="3889" w:type="dxa"/>
            <w:vAlign w:val="center"/>
          </w:tcPr>
          <w:p w14:paraId="647E7DA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药学</w:t>
            </w:r>
          </w:p>
        </w:tc>
        <w:tc>
          <w:tcPr>
            <w:tcW w:w="1474" w:type="dxa"/>
            <w:vAlign w:val="center"/>
          </w:tcPr>
          <w:p w14:paraId="13AE79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474" w:type="dxa"/>
            <w:vAlign w:val="center"/>
          </w:tcPr>
          <w:p w14:paraId="6456F6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474" w:type="dxa"/>
            <w:vAlign w:val="center"/>
          </w:tcPr>
          <w:p w14:paraId="6B3714F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83.3%</w:t>
            </w:r>
          </w:p>
        </w:tc>
      </w:tr>
      <w:tr w14:paraId="69F5F999">
        <w:trPr>
          <w:jc w:val="center"/>
        </w:trPr>
        <w:tc>
          <w:tcPr>
            <w:tcW w:w="3889" w:type="dxa"/>
            <w:vAlign w:val="center"/>
          </w:tcPr>
          <w:p w14:paraId="5EC96EC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中医养生保健</w:t>
            </w:r>
          </w:p>
        </w:tc>
        <w:tc>
          <w:tcPr>
            <w:tcW w:w="1474" w:type="dxa"/>
            <w:vAlign w:val="center"/>
          </w:tcPr>
          <w:p w14:paraId="23EC2A0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1474" w:type="dxa"/>
            <w:vAlign w:val="center"/>
          </w:tcPr>
          <w:p w14:paraId="09EB362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474" w:type="dxa"/>
            <w:vAlign w:val="center"/>
          </w:tcPr>
          <w:p w14:paraId="3F498E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50.0%</w:t>
            </w:r>
          </w:p>
        </w:tc>
      </w:tr>
      <w:tr w14:paraId="2AD5069C">
        <w:trPr>
          <w:jc w:val="center"/>
        </w:trPr>
        <w:tc>
          <w:tcPr>
            <w:tcW w:w="3889" w:type="dxa"/>
            <w:vAlign w:val="center"/>
          </w:tcPr>
          <w:p w14:paraId="6BDFE37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无人机应用技术</w:t>
            </w:r>
          </w:p>
        </w:tc>
        <w:tc>
          <w:tcPr>
            <w:tcW w:w="1474" w:type="dxa"/>
            <w:vAlign w:val="center"/>
          </w:tcPr>
          <w:p w14:paraId="0AAA645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474" w:type="dxa"/>
            <w:vAlign w:val="center"/>
          </w:tcPr>
          <w:p w14:paraId="6C5F10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474" w:type="dxa"/>
            <w:vAlign w:val="center"/>
          </w:tcPr>
          <w:p w14:paraId="4F2965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100%</w:t>
            </w:r>
          </w:p>
        </w:tc>
      </w:tr>
      <w:tr w14:paraId="2C8368CC">
        <w:trPr>
          <w:jc w:val="center"/>
        </w:trPr>
        <w:tc>
          <w:tcPr>
            <w:tcW w:w="3889" w:type="dxa"/>
            <w:vAlign w:val="center"/>
          </w:tcPr>
          <w:p w14:paraId="7DEC256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w="1474" w:type="dxa"/>
            <w:vAlign w:val="center"/>
          </w:tcPr>
          <w:p w14:paraId="3FE415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104</w:t>
            </w:r>
          </w:p>
        </w:tc>
        <w:tc>
          <w:tcPr>
            <w:tcW w:w="1474" w:type="dxa"/>
            <w:vAlign w:val="center"/>
          </w:tcPr>
          <w:p w14:paraId="1E8EBB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88</w:t>
            </w:r>
          </w:p>
        </w:tc>
        <w:tc>
          <w:tcPr>
            <w:tcW w:w="1474" w:type="dxa"/>
            <w:vAlign w:val="center"/>
          </w:tcPr>
          <w:p w14:paraId="03BF48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84.6%</w:t>
            </w:r>
          </w:p>
        </w:tc>
      </w:tr>
    </w:tbl>
    <w:p w14:paraId="67E773F1">
      <w:pPr>
        <w:spacing w:before="0" w:after="0" w:line="240" w:lineRule="auto"/>
      </w:pPr>
    </w:p>
    <w:p w14:paraId="6D671C8E">
      <w:pPr>
        <w:spacing w:before="0" w:after="0" w:line="360" w:lineRule="auto"/>
        <w:ind w:firstLine="480"/>
      </w:pPr>
      <w:r>
        <w:rPr>
          <w:rFonts w:ascii="Times New Roman" w:hAnsi="Times New Roman" w:eastAsia="宋体"/>
          <w:b w:val="0"/>
          <w:color w:val="000000"/>
          <w:sz w:val="24"/>
        </w:rPr>
        <w:t>护理、药品经营与管理实现零流失；中医康复技术 70.0%、中医养生保健 50.0% 报到率偏低，前者基数较大，更需重点关注。</w:t>
      </w:r>
    </w:p>
    <w:p w14:paraId="25FD2E0B">
      <w:pPr>
        <w:spacing w:before="120" w:after="60" w:line="336" w:lineRule="auto"/>
      </w:pPr>
      <w:r>
        <w:rPr>
          <w:rFonts w:ascii="Times New Roman" w:hAnsi="Times New Roman" w:eastAsia="黑体"/>
          <w:b w:val="0"/>
          <w:color w:val="000000"/>
          <w:sz w:val="28"/>
        </w:rPr>
        <w:t>（四）未报到人员分析</w:t>
      </w:r>
    </w:p>
    <w:p w14:paraId="6A921786">
      <w:pPr>
        <w:spacing w:before="0" w:after="0" w:line="360" w:lineRule="auto"/>
        <w:ind w:firstLine="48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</w:rPr>
        <w:t>16 名未报到学生中，信丰县 11 人占 68.8%，瑞金市 2 人，赣县区、大余县、崇义县各 1 人。按批次拆解，单招未报到 11 人中有 9 人集中在信丰。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其中2人复读，2人家中有其他安排，12人是经济等多方面原因。</w:t>
      </w:r>
    </w:p>
    <w:p w14:paraId="4EC2D4B4">
      <w:pPr>
        <w:spacing w:before="140" w:after="80" w:line="336" w:lineRule="auto"/>
      </w:pPr>
      <w:r>
        <w:rPr>
          <w:rFonts w:ascii="Times New Roman" w:hAnsi="Times New Roman" w:eastAsia="黑体"/>
          <w:b w:val="0"/>
          <w:color w:val="000000"/>
          <w:sz w:val="32"/>
        </w:rPr>
        <w:t>二、本年度工作亮点与不足</w:t>
      </w:r>
    </w:p>
    <w:p w14:paraId="30DA751A">
      <w:pPr>
        <w:spacing w:before="120" w:after="60" w:line="336" w:lineRule="auto"/>
      </w:pPr>
      <w:r>
        <w:rPr>
          <w:rFonts w:ascii="Times New Roman" w:hAnsi="Times New Roman" w:eastAsia="黑体"/>
          <w:b w:val="0"/>
          <w:color w:val="000000"/>
          <w:sz w:val="28"/>
        </w:rPr>
        <w:t>（一）工作亮点</w:t>
      </w:r>
    </w:p>
    <w:p w14:paraId="16995601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1、超额完成本年度招生任务，下达招生任务数 100 人，实际录取 104 人，任务完成率达 104%，在既定指标基础上多招录 4 人，顺利超额完成既定招生目标。</w:t>
      </w:r>
    </w:p>
    <w:p w14:paraId="5BA23AB9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2、片区</w:t>
      </w:r>
      <w:bookmarkStart w:id="0" w:name="_GoBack"/>
      <w:bookmarkEnd w:id="0"/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新生报到总体成效突出，多个县区报到情况亮眼。其中上犹县录取 14 名新生全部按时到校报到，实现零流失；大余县新生报到率 93.3%，赣县区新生报到率 91.7%，上犹、大余、赣县三个区域新生报到率均稳定在 90% 以上，生源留存效果良好。</w:t>
      </w:r>
    </w:p>
    <w:p w14:paraId="14ED9559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3、部分热门专业生源稳定性表现优异，护理、药品经营与管理两个专业录取新生合计 18 人，全部按期报到，实现零流失，报到率均达到 100%，专业吸引力和新生就读意愿较强。</w:t>
      </w:r>
    </w:p>
    <w:p w14:paraId="17242CA0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 xml:space="preserve">4、招生渠道网络框架已基本成型。目前已在 6 个县区对接 </w:t>
      </w: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22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所学校并成功建立稳定招生渠道关系，持续夯实生源阵地；当前仅剩余 6 所省重点中学暂未打通渠道，后续将重点攻坚，补齐渠道短板，进一步拓宽生源来源。</w:t>
      </w:r>
    </w:p>
    <w:p w14:paraId="0AE8EFC8">
      <w:pPr>
        <w:spacing w:before="0" w:after="0" w:line="360" w:lineRule="auto"/>
        <w:ind w:firstLine="480"/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5、积极拓展新媒体宣传渠道，充分利用抖音、小红书等热门平台开展招生推广，构建线上线下联动宣传模式。结合考生与家长关注重点，制作短视频、图文笔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记，直观展示校园风貌、专业特色、培养方案及就业升学相关内容，打破传统宣传的地域限制，有效扩大院校知晓度。</w:t>
      </w:r>
    </w:p>
    <w:p w14:paraId="57407D35">
      <w:pPr>
        <w:spacing w:before="0" w:after="0" w:line="360" w:lineRule="auto"/>
        <w:ind w:left="480" w:hanging="240"/>
        <w:rPr>
          <w:rFonts w:hint="default"/>
          <w:b w:val="0"/>
          <w:color w:val="000000"/>
          <w:sz w:val="24"/>
          <w:lang w:val="en-US" w:eastAsia="zh-CN"/>
        </w:rPr>
      </w:pPr>
    </w:p>
    <w:p w14:paraId="3DAE3998">
      <w:pPr>
        <w:spacing w:before="120" w:after="60" w:line="336" w:lineRule="auto"/>
        <w:rPr>
          <w:rFonts w:ascii="Times New Roman" w:hAnsi="Times New Roman" w:eastAsia="黑体"/>
          <w:b w:val="0"/>
          <w:color w:val="000000"/>
          <w:sz w:val="28"/>
        </w:rPr>
      </w:pPr>
      <w:r>
        <w:rPr>
          <w:rFonts w:ascii="Times New Roman" w:hAnsi="Times New Roman" w:eastAsia="黑体"/>
          <w:b w:val="0"/>
          <w:color w:val="000000"/>
          <w:sz w:val="28"/>
        </w:rPr>
        <w:t>（二）存在的不足</w:t>
      </w:r>
    </w:p>
    <w:p w14:paraId="1D8981C6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1、招生规模增量空间有限。本年度虽超额完成招生指标，但超额幅度仅 4%，整体生源增量较为有限，生源储备厚度不足，面对区域生源波动、中职招生竞争加剧等外部变化时，抗风险能力偏弱，招生规模稳步增长的支撑基础仍不牢固。</w:t>
      </w:r>
    </w:p>
    <w:p w14:paraId="00D55B3A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2、区域招生不均衡。上犹、大余、赣县三大核心区域报到率虽保持在 90% 以上，但其余县区招生推进成效参差不齐，部分区域报到率偏低，生源就读意愿不稳定，中途流失风险仍存，区域间工作成效差距较为明显，全域招生质量均衡性有待提升。</w:t>
      </w:r>
    </w:p>
    <w:p w14:paraId="77DB7668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3、专业间生源分化明显，部分专业吸引力偏弱。护理、药品经营与管理两大专业报到率达 100%，但其余部分专业生源质量与报到留存率差距较大，冷门专业招生压力突出，专业设置与</w:t>
      </w: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学生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需求、考生就读意愿的匹配度仍需优化。</w:t>
      </w:r>
    </w:p>
    <w:p w14:paraId="4E99E9EB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4、网络宣传内容形式较为单一，传播吸引力与转化率偏低。线上发布内容多以招生政策、学校概况等静态图文为主，缺少学生日常生活、学子成长案例、就业发展前景等考生及家长关切的具象化内容；鲜活的传播形式运用较少，内容感染力不足，难以有效将曝光量转化为生源咨询与实际报名意愿。</w:t>
      </w:r>
    </w:p>
    <w:p w14:paraId="0848B64C">
      <w:pPr>
        <w:spacing w:before="120" w:after="60" w:line="336" w:lineRule="auto"/>
        <w:rPr>
          <w:rFonts w:ascii="Times New Roman" w:hAnsi="Times New Roman" w:eastAsia="黑体"/>
          <w:b w:val="0"/>
          <w:color w:val="000000"/>
          <w:sz w:val="28"/>
        </w:rPr>
      </w:pPr>
    </w:p>
    <w:p w14:paraId="7D51A54C">
      <w:pPr>
        <w:spacing w:before="140" w:after="80" w:line="336" w:lineRule="auto"/>
      </w:pPr>
      <w:r>
        <w:rPr>
          <w:rFonts w:ascii="Times New Roman" w:hAnsi="Times New Roman" w:eastAsia="黑体"/>
          <w:b w:val="0"/>
          <w:color w:val="000000"/>
          <w:sz w:val="32"/>
        </w:rPr>
        <w:t>三、明年工作规划</w:t>
      </w:r>
    </w:p>
    <w:p w14:paraId="0FE6B78D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1、稳步扩大招生规模增量，夯实生源储备基础。在稳定现有招生体量的基础上，进一步拓宽生源挖掘维度，优化生源跟进与转化机制，提升报名转化率，力争明年招生超额幅度稳步提升，为学校办学规模扩容提供坚实生源支撑。</w:t>
      </w:r>
    </w:p>
    <w:p w14:paraId="41AAC916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2、统筹推进区域招生均衡，补齐县区留存短板。针对区域间招生成效差异，对报到率偏低的县区实施精准施策，加大宣传走访频次与政策倾斜力度，建立薄弱区域生源全流程跟踪对接机制；复制推广上犹县 “零流失” 工作经验，强化各县区生源入学前后的衔接服务，稳步提升各区域报到率，逐步缩小区域差距，推动全域招生质量均衡发展。</w:t>
      </w:r>
    </w:p>
    <w:p w14:paraId="684E5003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3、优化各专业招生结构，整体提升专业吸引力。护理、药品经营与管理这两个优势专业继续巩固好招生口碑，把 100% 报到率的良好势头保持住。针对中医康复技术、中医养生保健这类报到率偏低、吸引力不足的专业，紧扣行业市场需求找准培养定位，重点突出职业发展前景和专业办学特色，针对性开展招生宣讲与解读，逐步缩小专业间的生源差距，带动各专业招生质量同步提升。</w:t>
      </w:r>
    </w:p>
    <w:p w14:paraId="28FCB75E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4、</w:t>
      </w: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扩大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招生渠道，攻坚优质生源</w:t>
      </w: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学校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。一方面</w:t>
      </w: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继续加强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 xml:space="preserve">已对接的 </w:t>
      </w: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22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 xml:space="preserve"> 所学校合作关系，不再停留在发简章、做宣讲的浅层合作，后续会加强与校方的常态化沟通对接，推动落地定向生源推荐、联合招生宣讲等更务实的深度合作。针对 6 所尚未打通的省重点中学，将其列为明年的重点攻坚目标，主动上门对接、进校开展专场讲解，把学校专业优势与招生政策讲清讲透，力争突破优质生源入口，逐步搭建起层级清晰、覆盖全面的招生渠道网络。</w:t>
      </w:r>
    </w:p>
    <w:p w14:paraId="58A26123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5、优化线上招生宣传，切实提升引流转化效果。重点布局抖音、视频号等考生及家长高频使用的短视频平台，宣传内容跳出单一的政策简章模式，多拍摄实训课堂、校园日常、学子成长、毕业生就业典型等真实素材，及时回复各类线上留言与招生疑问，打通从内容曝光、咨询答疑到报名跟进的完整链路，把线上流量切实转化为生源增量，真正发挥网络宣传的招生拉动作用。</w:t>
      </w:r>
    </w:p>
    <w:p w14:paraId="79BC7F37">
      <w:pPr>
        <w:spacing w:before="0" w:after="0" w:line="360" w:lineRule="auto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</w:p>
    <w:p w14:paraId="258F69CA">
      <w:pPr>
        <w:spacing w:before="140" w:after="80" w:line="336" w:lineRule="auto"/>
        <w:rPr>
          <w:rFonts w:hint="eastAsia" w:ascii="宋体" w:hAnsi="宋体" w:eastAsia="黑体" w:cs="宋体"/>
          <w:b w:val="0"/>
          <w:color w:val="000000"/>
          <w:sz w:val="24"/>
          <w:lang w:val="en-US" w:eastAsia="zh-CN"/>
        </w:rPr>
      </w:pPr>
      <w:r>
        <w:rPr>
          <w:rFonts w:hint="eastAsia" w:eastAsia="黑体"/>
          <w:b w:val="0"/>
          <w:color w:val="000000"/>
          <w:sz w:val="32"/>
          <w:lang w:val="en-US" w:eastAsia="zh-CN"/>
        </w:rPr>
        <w:t>四</w:t>
      </w:r>
      <w:r>
        <w:rPr>
          <w:rFonts w:ascii="Times New Roman" w:hAnsi="Times New Roman" w:eastAsia="黑体"/>
          <w:b w:val="0"/>
          <w:color w:val="000000"/>
          <w:sz w:val="32"/>
        </w:rPr>
        <w:t>、</w:t>
      </w:r>
      <w:r>
        <w:rPr>
          <w:rFonts w:hint="eastAsia" w:eastAsia="黑体"/>
          <w:b w:val="0"/>
          <w:color w:val="000000"/>
          <w:sz w:val="32"/>
          <w:lang w:val="en-US" w:eastAsia="zh-CN"/>
        </w:rPr>
        <w:t>总结</w:t>
      </w:r>
    </w:p>
    <w:p w14:paraId="63983940">
      <w:pPr>
        <w:spacing w:before="0" w:after="0" w:line="360" w:lineRule="auto"/>
        <w:ind w:firstLine="480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回顾 2026 年度招生工作，</w:t>
      </w: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我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所</w:t>
      </w: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负责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六个区域的招生任务顺利超额完成，各项工作取得阶段性成效，但也清醒认识到区域招生不均衡、单招报到转化率偏低、部分专业吸引力不足等短板依然突出。下一步，我将严格对照年度工作规划，立足岗位职责，紧盯薄弱环节精准施策，持续深耕区域生源阵地、优化专业招生策略、升级线上宣传效能、细化生源跟进服务，全力提升招生报到率与</w:t>
      </w: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招生人数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，力争</w:t>
      </w: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2027年</w:t>
      </w:r>
      <w:r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  <w:t>招生工作提质增效，为学校办学发展和人才培养工作筑牢生源基础、贡献应有力量。</w:t>
      </w:r>
    </w:p>
    <w:p w14:paraId="4592792B">
      <w:pPr>
        <w:spacing w:before="0" w:after="0" w:line="360" w:lineRule="auto"/>
        <w:rPr>
          <w:rFonts w:hint="eastAsia" w:ascii="宋体" w:hAnsi="宋体" w:eastAsia="宋体" w:cs="宋体"/>
          <w:b w:val="0"/>
          <w:color w:val="000000"/>
          <w:sz w:val="24"/>
          <w:lang w:val="en-US" w:eastAsia="zh-CN"/>
        </w:rPr>
      </w:pPr>
    </w:p>
    <w:p w14:paraId="46177DC2">
      <w:pPr>
        <w:spacing w:before="0" w:after="0" w:line="360" w:lineRule="auto"/>
        <w:ind w:left="5760" w:leftChars="0" w:firstLine="720" w:firstLineChars="0"/>
        <w:rPr>
          <w:rFonts w:hint="eastAsia" w:ascii="宋体" w:hAnsi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招生处</w:t>
      </w:r>
    </w:p>
    <w:p w14:paraId="3BAF502D">
      <w:pPr>
        <w:spacing w:before="0" w:after="0" w:line="360" w:lineRule="auto"/>
        <w:ind w:left="5760" w:leftChars="0" w:firstLine="720" w:firstLineChars="0"/>
        <w:rPr>
          <w:rFonts w:hint="eastAsia" w:ascii="宋体" w:hAnsi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刘伟</w:t>
      </w:r>
    </w:p>
    <w:p w14:paraId="4713D3CA">
      <w:pPr>
        <w:spacing w:before="0" w:after="0" w:line="360" w:lineRule="auto"/>
        <w:ind w:left="5040" w:leftChars="0" w:firstLine="720" w:firstLineChars="0"/>
        <w:rPr>
          <w:rFonts w:hint="default" w:ascii="宋体" w:hAnsi="宋体" w:cs="宋体"/>
          <w:b w:val="0"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b w:val="0"/>
          <w:color w:val="000000"/>
          <w:sz w:val="24"/>
          <w:lang w:val="en-US" w:eastAsia="zh-CN"/>
        </w:rPr>
        <w:t>2026年9月22日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 Regular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 Regular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iragino Sans GB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79EDC54"/>
    <w:rsid w:val="2F7A79B4"/>
    <w:rsid w:val="3DF3F1BF"/>
    <w:rsid w:val="3FFA8EA2"/>
    <w:rsid w:val="495F3D5F"/>
    <w:rsid w:val="4D6D4B71"/>
    <w:rsid w:val="4FF3B6A2"/>
    <w:rsid w:val="6AFFB5B8"/>
    <w:rsid w:val="6DBC4113"/>
    <w:rsid w:val="769DBCBE"/>
    <w:rsid w:val="775F9B52"/>
    <w:rsid w:val="77FDE82B"/>
    <w:rsid w:val="7DAB5C3A"/>
    <w:rsid w:val="7E3CBCC8"/>
    <w:rsid w:val="7F3B980C"/>
    <w:rsid w:val="7FFDF481"/>
    <w:rsid w:val="7FFF6F12"/>
    <w:rsid w:val="AFF35488"/>
    <w:rsid w:val="EDF0F619"/>
    <w:rsid w:val="FA7D73A3"/>
    <w:rsid w:val="FAB248E2"/>
    <w:rsid w:val="FACFF27C"/>
    <w:rsid w:val="FDFB7181"/>
    <w:rsid w:val="FFB7FDB6"/>
    <w:rsid w:val="FFC7F5DE"/>
    <w:rsid w:val="FFFEB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Yous</cp:lastModifiedBy>
  <dcterms:modified xsi:type="dcterms:W3CDTF">2026-09-22T17:11:55Z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349C500C6B81E9FB5B46B26A5FA0BE68_43</vt:lpwstr>
  </property>
</Properties>
</file>