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ECE654">
      <w:pPr>
        <w:adjustRightInd w:val="0"/>
        <w:snapToGrid w:val="0"/>
        <w:spacing w:line="585" w:lineRule="exact"/>
        <w:rPr>
          <w:rFonts w:ascii="微软雅黑" w:hAnsi="微软雅黑" w:eastAsia="微软雅黑" w:cs="微软雅黑"/>
          <w:sz w:val="44"/>
          <w:szCs w:val="44"/>
        </w:rPr>
      </w:pPr>
    </w:p>
    <w:p w14:paraId="59F26127">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ascii="方正小标宋简体" w:hAnsi="微软雅黑" w:eastAsia="方正小标宋简体" w:cs="微软雅黑"/>
          <w:sz w:val="44"/>
          <w:szCs w:val="44"/>
        </w:rPr>
      </w:pPr>
      <w:r>
        <w:rPr>
          <w:rFonts w:hint="eastAsia" w:ascii="方正小标宋简体" w:hAnsi="微软雅黑" w:eastAsia="方正小标宋简体" w:cs="微软雅黑"/>
          <w:sz w:val="44"/>
          <w:szCs w:val="44"/>
        </w:rPr>
        <w:t>深化教育领域腐败整治阶段性工作总结</w:t>
      </w:r>
    </w:p>
    <w:p w14:paraId="19E234A3">
      <w:pPr>
        <w:adjustRightInd w:val="0"/>
        <w:snapToGrid w:val="0"/>
        <w:spacing w:line="585" w:lineRule="exact"/>
        <w:jc w:val="center"/>
        <w:rPr>
          <w:rFonts w:ascii="Times New Roman" w:hAnsi="Times New Roman" w:eastAsia="方正仿宋_GBK"/>
          <w:sz w:val="32"/>
          <w:szCs w:val="32"/>
        </w:rPr>
      </w:pPr>
      <w:r>
        <w:rPr>
          <w:rFonts w:hint="eastAsia" w:ascii="楷体_GB2312" w:hAnsi="Arial" w:eastAsia="楷体_GB2312" w:cs="Arial"/>
          <w:sz w:val="32"/>
          <w:szCs w:val="32"/>
          <w:lang w:val="en-US" w:eastAsia="zh-CN"/>
        </w:rPr>
        <w:t>江西樟树中医药职业学院</w:t>
      </w:r>
    </w:p>
    <w:p w14:paraId="4288C18B">
      <w:pPr>
        <w:keepNext w:val="0"/>
        <w:keepLines w:val="0"/>
        <w:pageBreakBefore w:val="0"/>
        <w:widowControl/>
        <w:kinsoku/>
        <w:wordWrap/>
        <w:overflowPunct/>
        <w:topLinePunct w:val="0"/>
        <w:autoSpaceDE/>
        <w:autoSpaceDN/>
        <w:bidi w:val="0"/>
        <w:adjustRightInd/>
        <w:snapToGrid/>
        <w:spacing w:before="313" w:beforeLines="100" w:line="600" w:lineRule="exact"/>
        <w:ind w:firstLine="640" w:firstLineChars="200"/>
        <w:jc w:val="both"/>
        <w:textAlignment w:val="auto"/>
        <w:rPr>
          <w:rFonts w:hint="eastAsia" w:ascii="仿宋_GB2312" w:hAnsi="方正仿宋_GBK" w:eastAsia="仿宋_GB2312" w:cs="方正仿宋_GBK"/>
          <w:color w:val="000000"/>
          <w:kern w:val="0"/>
          <w:sz w:val="32"/>
          <w:szCs w:val="32"/>
        </w:rPr>
      </w:pPr>
      <w:r>
        <w:rPr>
          <w:rFonts w:hint="eastAsia" w:ascii="仿宋_GB2312" w:hAnsi="方正仿宋_GBK" w:eastAsia="仿宋_GB2312" w:cs="方正仿宋_GBK"/>
          <w:color w:val="000000"/>
          <w:kern w:val="0"/>
          <w:sz w:val="32"/>
          <w:szCs w:val="32"/>
        </w:rPr>
        <w:t>为深入贯彻落实教育领域腐败问题集中整治工作部署，我院聚焦高校招生领域突出问题，以"两个责任"落实和校考制度规范为切入点，扎实推进深化高校招生问题整治各项工作，现将有关情况报告如下。</w:t>
      </w:r>
    </w:p>
    <w:p w14:paraId="505C8FD6">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color w:val="000000"/>
          <w:kern w:val="0"/>
          <w:sz w:val="32"/>
          <w:szCs w:val="32"/>
        </w:rPr>
      </w:pPr>
      <w:r>
        <w:rPr>
          <w:rFonts w:hint="eastAsia" w:ascii="黑体" w:hAnsi="黑体" w:eastAsia="黑体" w:cs="黑体"/>
          <w:color w:val="000000"/>
          <w:kern w:val="0"/>
          <w:sz w:val="32"/>
          <w:szCs w:val="32"/>
        </w:rPr>
        <w:t>一、阶段性进展成效</w:t>
      </w:r>
    </w:p>
    <w:p w14:paraId="40FD27DB">
      <w:pPr>
        <w:keepNext w:val="0"/>
        <w:keepLines w:val="0"/>
        <w:pageBreakBefore w:val="0"/>
        <w:widowControl/>
        <w:kinsoku/>
        <w:wordWrap/>
        <w:overflowPunct/>
        <w:topLinePunct w:val="0"/>
        <w:autoSpaceDE/>
        <w:autoSpaceDN/>
        <w:bidi w:val="0"/>
        <w:adjustRightInd/>
        <w:snapToGrid/>
        <w:spacing w:line="600" w:lineRule="exact"/>
        <w:ind w:firstLine="643" w:firstLineChars="200"/>
        <w:jc w:val="both"/>
        <w:textAlignment w:val="auto"/>
        <w:rPr>
          <w:rFonts w:hint="eastAsia" w:ascii="楷体" w:hAnsi="楷体" w:eastAsia="楷体" w:cs="楷体"/>
          <w:b/>
          <w:bCs/>
          <w:color w:val="000000"/>
          <w:kern w:val="0"/>
          <w:sz w:val="32"/>
          <w:szCs w:val="32"/>
        </w:rPr>
      </w:pPr>
      <w:r>
        <w:rPr>
          <w:rFonts w:hint="eastAsia" w:ascii="楷体" w:hAnsi="楷体" w:eastAsia="楷体" w:cs="楷体"/>
          <w:b/>
          <w:bCs/>
          <w:color w:val="000000"/>
          <w:kern w:val="0"/>
          <w:sz w:val="32"/>
          <w:szCs w:val="32"/>
        </w:rPr>
        <w:t>（一）强化组织部署，压实工作责任。</w:t>
      </w:r>
    </w:p>
    <w:p w14:paraId="7EE8DED3">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方正仿宋_GBK" w:eastAsia="仿宋_GB2312" w:cs="方正仿宋_GBK"/>
          <w:color w:val="000000"/>
          <w:kern w:val="0"/>
          <w:sz w:val="32"/>
          <w:szCs w:val="32"/>
        </w:rPr>
      </w:pPr>
      <w:r>
        <w:rPr>
          <w:rFonts w:hint="eastAsia" w:ascii="仿宋_GB2312" w:hAnsi="方正仿宋_GBK" w:eastAsia="仿宋_GB2312" w:cs="方正仿宋_GBK"/>
          <w:color w:val="000000"/>
          <w:kern w:val="0"/>
          <w:sz w:val="32"/>
          <w:szCs w:val="32"/>
        </w:rPr>
        <w:t>学院党委切实履行主体责任，将招生领域腐败问题整治纳入重要议事日程。2026年5月12日，第六次党委会专题审议《江西樟树中医药职业学院关于深化教育领域腐败问题整治的工作方案》，对整治工作作出全面部署；6月8日，校长办公会审议《招生简章备案材料》，严把招生入口关。成立单独招生考试工作领导小组，统筹推进单招考试各项工作，形成党委统一领导、部门协同联动的工作格局。</w:t>
      </w:r>
    </w:p>
    <w:p w14:paraId="35A7A742">
      <w:pPr>
        <w:keepNext w:val="0"/>
        <w:keepLines w:val="0"/>
        <w:pageBreakBefore w:val="0"/>
        <w:widowControl/>
        <w:kinsoku/>
        <w:wordWrap/>
        <w:overflowPunct/>
        <w:topLinePunct w:val="0"/>
        <w:autoSpaceDE/>
        <w:autoSpaceDN/>
        <w:bidi w:val="0"/>
        <w:adjustRightInd/>
        <w:snapToGrid/>
        <w:spacing w:line="600" w:lineRule="exact"/>
        <w:ind w:firstLine="643" w:firstLineChars="200"/>
        <w:jc w:val="both"/>
        <w:textAlignment w:val="auto"/>
        <w:rPr>
          <w:rFonts w:hint="eastAsia" w:ascii="楷体" w:hAnsi="楷体" w:eastAsia="楷体" w:cs="楷体"/>
          <w:b/>
          <w:bCs/>
          <w:color w:val="000000"/>
          <w:kern w:val="0"/>
          <w:sz w:val="32"/>
          <w:szCs w:val="32"/>
        </w:rPr>
      </w:pPr>
      <w:r>
        <w:rPr>
          <w:rFonts w:hint="eastAsia" w:ascii="楷体" w:hAnsi="楷体" w:eastAsia="楷体" w:cs="楷体"/>
          <w:b/>
          <w:bCs/>
          <w:color w:val="000000"/>
          <w:kern w:val="0"/>
          <w:sz w:val="32"/>
          <w:szCs w:val="32"/>
        </w:rPr>
        <w:t>（二）健全制度机制，规范招生行为。</w:t>
      </w:r>
    </w:p>
    <w:p w14:paraId="5C0B8327">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方正仿宋_GBK" w:eastAsia="仿宋_GB2312" w:cs="方正仿宋_GBK"/>
          <w:color w:val="000000"/>
          <w:kern w:val="0"/>
          <w:sz w:val="32"/>
          <w:szCs w:val="32"/>
        </w:rPr>
      </w:pPr>
      <w:r>
        <w:rPr>
          <w:rFonts w:hint="eastAsia" w:ascii="仿宋_GB2312" w:hAnsi="方正仿宋_GBK" w:eastAsia="仿宋_GB2312" w:cs="方正仿宋_GBK"/>
          <w:color w:val="000000"/>
          <w:kern w:val="0"/>
          <w:sz w:val="32"/>
          <w:szCs w:val="32"/>
        </w:rPr>
        <w:t>围绕特殊类型招生及校考管理中的薄弱环节，先后出台《江西樟树中医药职业学院2026年五年制高职招生章程》《江西樟树中医药职业学院单独招生考试保密承诺书》等制度文件2项，进一步完善招生章程备案、保密承诺等关键环节制度规范，切实把权力关进制度笼子。</w:t>
      </w:r>
    </w:p>
    <w:p w14:paraId="0DCAB84D">
      <w:pPr>
        <w:keepNext w:val="0"/>
        <w:keepLines w:val="0"/>
        <w:pageBreakBefore w:val="0"/>
        <w:widowControl/>
        <w:kinsoku/>
        <w:wordWrap/>
        <w:overflowPunct/>
        <w:topLinePunct w:val="0"/>
        <w:autoSpaceDE/>
        <w:autoSpaceDN/>
        <w:bidi w:val="0"/>
        <w:adjustRightInd/>
        <w:snapToGrid/>
        <w:spacing w:line="600" w:lineRule="exact"/>
        <w:ind w:firstLine="643" w:firstLineChars="200"/>
        <w:jc w:val="both"/>
        <w:textAlignment w:val="auto"/>
        <w:rPr>
          <w:rFonts w:hint="eastAsia" w:ascii="楷体" w:hAnsi="楷体" w:eastAsia="楷体" w:cs="楷体"/>
          <w:b/>
          <w:bCs/>
          <w:color w:val="000000"/>
          <w:kern w:val="0"/>
          <w:sz w:val="32"/>
          <w:szCs w:val="32"/>
        </w:rPr>
      </w:pPr>
      <w:r>
        <w:rPr>
          <w:rFonts w:hint="eastAsia" w:ascii="楷体" w:hAnsi="楷体" w:eastAsia="楷体" w:cs="楷体"/>
          <w:b/>
          <w:bCs/>
          <w:color w:val="000000"/>
          <w:kern w:val="0"/>
          <w:sz w:val="32"/>
          <w:szCs w:val="32"/>
        </w:rPr>
        <w:t>（三）严格过程管理，狠抓考务落实。</w:t>
      </w:r>
    </w:p>
    <w:p w14:paraId="31FFB695">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方正仿宋_GBK" w:eastAsia="仿宋_GB2312" w:cs="方正仿宋_GBK"/>
          <w:color w:val="000000"/>
          <w:kern w:val="0"/>
          <w:sz w:val="32"/>
          <w:szCs w:val="32"/>
        </w:rPr>
      </w:pPr>
      <w:r>
        <w:rPr>
          <w:rFonts w:hint="eastAsia" w:ascii="仿宋_GB2312" w:hAnsi="方正仿宋_GBK" w:eastAsia="仿宋_GB2312" w:cs="方正仿宋_GBK"/>
          <w:color w:val="000000"/>
          <w:kern w:val="0"/>
          <w:sz w:val="32"/>
          <w:szCs w:val="32"/>
        </w:rPr>
        <w:t>针对春季单独招生考试，先后于2026年3月16日、3月20日召开单招考试调度会和考务会议，对考试组织、试卷运输、保密管理、评分考核等关键环节进行周密部署，确保考试安全平稳有序。</w:t>
      </w:r>
    </w:p>
    <w:p w14:paraId="4FA1FD58">
      <w:pPr>
        <w:keepNext w:val="0"/>
        <w:keepLines w:val="0"/>
        <w:pageBreakBefore w:val="0"/>
        <w:widowControl/>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方正仿宋_GBK" w:eastAsia="仿宋_GB2312" w:cs="方正仿宋_GBK"/>
          <w:color w:val="000000"/>
          <w:kern w:val="0"/>
          <w:sz w:val="32"/>
          <w:szCs w:val="32"/>
        </w:rPr>
      </w:pPr>
      <w:r>
        <w:rPr>
          <w:rFonts w:hint="eastAsia" w:ascii="楷体" w:hAnsi="楷体" w:eastAsia="楷体" w:cs="楷体"/>
          <w:b/>
          <w:bCs/>
          <w:color w:val="000000"/>
          <w:kern w:val="0"/>
          <w:sz w:val="32"/>
          <w:szCs w:val="32"/>
        </w:rPr>
        <w:t>（四）坚持问题导向，深入自查自纠。</w:t>
      </w:r>
    </w:p>
    <w:p w14:paraId="509636A0">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方正仿宋_GBK" w:eastAsia="仿宋_GB2312" w:cs="方正仿宋_GBK"/>
          <w:color w:val="000000"/>
          <w:kern w:val="0"/>
          <w:sz w:val="32"/>
          <w:szCs w:val="32"/>
        </w:rPr>
      </w:pPr>
      <w:r>
        <w:rPr>
          <w:rFonts w:hint="eastAsia" w:ascii="仿宋_GB2312" w:hAnsi="方正仿宋_GBK" w:eastAsia="仿宋_GB2312" w:cs="方正仿宋_GBK"/>
          <w:color w:val="000000"/>
          <w:kern w:val="0"/>
          <w:sz w:val="32"/>
          <w:szCs w:val="32"/>
        </w:rPr>
        <w:t>围绕高校党委主体责任、纪委监督责任、系统监管责任落实以及校考制度执行等重点领域，全面开展排查，共自查发现问题2个，均已完成整改，做到即知即改、立行立改。</w:t>
      </w:r>
    </w:p>
    <w:p w14:paraId="2BD5AA21">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color w:val="000000"/>
          <w:kern w:val="0"/>
          <w:sz w:val="32"/>
          <w:szCs w:val="32"/>
        </w:rPr>
      </w:pPr>
      <w:r>
        <w:rPr>
          <w:rFonts w:hint="eastAsia" w:ascii="黑体" w:hAnsi="黑体" w:eastAsia="黑体" w:cs="黑体"/>
          <w:color w:val="000000"/>
          <w:kern w:val="0"/>
          <w:sz w:val="32"/>
          <w:szCs w:val="32"/>
        </w:rPr>
        <w:t>二、当前存在的突出问题</w:t>
      </w:r>
    </w:p>
    <w:p w14:paraId="6AFE6A27">
      <w:pPr>
        <w:keepNext w:val="0"/>
        <w:keepLines w:val="0"/>
        <w:pageBreakBefore w:val="0"/>
        <w:widowControl/>
        <w:kinsoku/>
        <w:wordWrap/>
        <w:overflowPunct/>
        <w:topLinePunct w:val="0"/>
        <w:autoSpaceDE/>
        <w:autoSpaceDN/>
        <w:bidi w:val="0"/>
        <w:adjustRightInd/>
        <w:snapToGrid/>
        <w:spacing w:line="600" w:lineRule="exact"/>
        <w:ind w:firstLine="643" w:firstLineChars="200"/>
        <w:jc w:val="both"/>
        <w:textAlignment w:val="auto"/>
        <w:rPr>
          <w:rFonts w:hint="eastAsia" w:ascii="楷体" w:hAnsi="楷体" w:eastAsia="楷体" w:cs="楷体"/>
          <w:b/>
          <w:bCs/>
          <w:color w:val="000000"/>
          <w:kern w:val="0"/>
          <w:sz w:val="32"/>
          <w:szCs w:val="32"/>
        </w:rPr>
      </w:pPr>
      <w:r>
        <w:rPr>
          <w:rFonts w:hint="eastAsia" w:ascii="楷体" w:hAnsi="楷体" w:eastAsia="楷体" w:cs="楷体"/>
          <w:b/>
          <w:bCs/>
          <w:color w:val="000000"/>
          <w:kern w:val="0"/>
          <w:sz w:val="32"/>
          <w:szCs w:val="32"/>
        </w:rPr>
        <w:t>（一）监督责任落实存在盲区。</w:t>
      </w:r>
    </w:p>
    <w:p w14:paraId="0658762F">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方正仿宋_GBK" w:eastAsia="仿宋_GB2312" w:cs="方正仿宋_GBK"/>
          <w:color w:val="000000"/>
          <w:kern w:val="0"/>
          <w:sz w:val="32"/>
          <w:szCs w:val="32"/>
        </w:rPr>
      </w:pPr>
      <w:r>
        <w:rPr>
          <w:rFonts w:hint="eastAsia" w:ascii="仿宋_GB2312" w:hAnsi="方正仿宋_GBK" w:eastAsia="仿宋_GB2312" w:cs="方正仿宋_GBK"/>
          <w:color w:val="000000"/>
          <w:kern w:val="0"/>
          <w:sz w:val="32"/>
          <w:szCs w:val="32"/>
        </w:rPr>
        <w:t>春季单独招生考试技能考核方案中，试卷运输及保密室存储期间未安排纪检人员全程监督，纪委监督责任在关键环节、关键时段存在缺位，监督的穿透力和实效性有待增强。</w:t>
      </w:r>
    </w:p>
    <w:p w14:paraId="313C5CD7">
      <w:pPr>
        <w:keepNext w:val="0"/>
        <w:keepLines w:val="0"/>
        <w:pageBreakBefore w:val="0"/>
        <w:widowControl/>
        <w:kinsoku/>
        <w:wordWrap/>
        <w:overflowPunct/>
        <w:topLinePunct w:val="0"/>
        <w:autoSpaceDE/>
        <w:autoSpaceDN/>
        <w:bidi w:val="0"/>
        <w:adjustRightInd/>
        <w:snapToGrid/>
        <w:spacing w:line="600" w:lineRule="exact"/>
        <w:ind w:firstLine="643" w:firstLineChars="200"/>
        <w:jc w:val="both"/>
        <w:textAlignment w:val="auto"/>
        <w:rPr>
          <w:rFonts w:hint="eastAsia" w:ascii="楷体" w:hAnsi="楷体" w:eastAsia="楷体" w:cs="楷体"/>
          <w:b/>
          <w:bCs/>
          <w:color w:val="000000"/>
          <w:kern w:val="0"/>
          <w:sz w:val="32"/>
          <w:szCs w:val="32"/>
        </w:rPr>
      </w:pPr>
      <w:r>
        <w:rPr>
          <w:rFonts w:hint="eastAsia" w:ascii="楷体" w:hAnsi="楷体" w:eastAsia="楷体" w:cs="楷体"/>
          <w:b/>
          <w:bCs/>
          <w:color w:val="000000"/>
          <w:kern w:val="0"/>
          <w:sz w:val="32"/>
          <w:szCs w:val="32"/>
        </w:rPr>
        <w:t>（二）制度执行不够严格规范。</w:t>
      </w:r>
    </w:p>
    <w:p w14:paraId="110EC263">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方正仿宋_GBK" w:eastAsia="仿宋_GB2312" w:cs="方正仿宋_GBK"/>
          <w:color w:val="000000"/>
          <w:kern w:val="0"/>
          <w:sz w:val="32"/>
          <w:szCs w:val="32"/>
        </w:rPr>
      </w:pPr>
      <w:r>
        <w:rPr>
          <w:rFonts w:hint="eastAsia" w:ascii="仿宋_GB2312" w:hAnsi="方正仿宋_GBK" w:eastAsia="仿宋_GB2312" w:cs="方正仿宋_GBK"/>
          <w:color w:val="000000"/>
          <w:kern w:val="0"/>
          <w:sz w:val="32"/>
          <w:szCs w:val="32"/>
        </w:rPr>
        <w:t>单招考试技能考核中，个别工作人员保密承诺书签署流程不够规范，存在重制定、轻执行的倾向，制度刚性约束作用发挥不够充分，工作人员规矩意识和纪律意识仍需强化。</w:t>
      </w:r>
    </w:p>
    <w:p w14:paraId="367F3B9D">
      <w:pPr>
        <w:keepNext w:val="0"/>
        <w:keepLines w:val="0"/>
        <w:pageBreakBefore w:val="0"/>
        <w:widowControl/>
        <w:kinsoku/>
        <w:wordWrap/>
        <w:overflowPunct/>
        <w:topLinePunct w:val="0"/>
        <w:autoSpaceDE/>
        <w:autoSpaceDN/>
        <w:bidi w:val="0"/>
        <w:adjustRightInd/>
        <w:snapToGrid/>
        <w:spacing w:line="600" w:lineRule="exact"/>
        <w:ind w:firstLine="643" w:firstLineChars="200"/>
        <w:jc w:val="both"/>
        <w:textAlignment w:val="auto"/>
        <w:rPr>
          <w:rFonts w:hint="eastAsia" w:ascii="楷体" w:hAnsi="楷体" w:eastAsia="楷体" w:cs="楷体"/>
          <w:b/>
          <w:bCs/>
          <w:color w:val="000000"/>
          <w:kern w:val="0"/>
          <w:sz w:val="32"/>
          <w:szCs w:val="32"/>
        </w:rPr>
      </w:pPr>
      <w:r>
        <w:rPr>
          <w:rFonts w:hint="eastAsia" w:ascii="楷体" w:hAnsi="楷体" w:eastAsia="楷体" w:cs="楷体"/>
          <w:b/>
          <w:bCs/>
          <w:color w:val="000000"/>
          <w:kern w:val="0"/>
          <w:sz w:val="32"/>
          <w:szCs w:val="32"/>
        </w:rPr>
        <w:t>（三）责任压力传导不够到位。</w:t>
      </w:r>
    </w:p>
    <w:p w14:paraId="2726FB17">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方正仿宋_GBK" w:eastAsia="仿宋_GB2312" w:cs="方正仿宋_GBK"/>
          <w:color w:val="000000"/>
          <w:kern w:val="0"/>
          <w:sz w:val="32"/>
          <w:szCs w:val="32"/>
        </w:rPr>
      </w:pPr>
      <w:r>
        <w:rPr>
          <w:rFonts w:hint="eastAsia" w:ascii="仿宋_GB2312" w:hAnsi="方正仿宋_GBK" w:eastAsia="仿宋_GB2312" w:cs="方正仿宋_GBK"/>
          <w:color w:val="000000"/>
          <w:kern w:val="0"/>
          <w:sz w:val="32"/>
          <w:szCs w:val="32"/>
        </w:rPr>
        <w:t>党委主体责任、纪委监督责任、系统监管责任"三个责任"贯通协同不够，压力传导存在层层递减现象，基层一线工作人员对招生领域廉政风险的认识不够深刻，风险防控的主动性和自觉性有待提升。</w:t>
      </w:r>
    </w:p>
    <w:p w14:paraId="37437B87">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color w:val="000000"/>
          <w:kern w:val="0"/>
          <w:sz w:val="32"/>
          <w:szCs w:val="32"/>
        </w:rPr>
      </w:pPr>
      <w:r>
        <w:rPr>
          <w:rFonts w:hint="eastAsia" w:ascii="黑体" w:hAnsi="黑体" w:eastAsia="黑体" w:cs="黑体"/>
          <w:color w:val="000000"/>
          <w:kern w:val="0"/>
          <w:sz w:val="32"/>
          <w:szCs w:val="32"/>
        </w:rPr>
        <w:t>三、下一步工作考虑</w:t>
      </w:r>
    </w:p>
    <w:p w14:paraId="7A83CCE0">
      <w:pPr>
        <w:keepNext w:val="0"/>
        <w:keepLines w:val="0"/>
        <w:pageBreakBefore w:val="0"/>
        <w:widowControl/>
        <w:kinsoku/>
        <w:wordWrap/>
        <w:overflowPunct/>
        <w:topLinePunct w:val="0"/>
        <w:autoSpaceDE/>
        <w:autoSpaceDN/>
        <w:bidi w:val="0"/>
        <w:adjustRightInd/>
        <w:snapToGrid/>
        <w:spacing w:line="600" w:lineRule="exact"/>
        <w:ind w:firstLine="643" w:firstLineChars="200"/>
        <w:jc w:val="both"/>
        <w:textAlignment w:val="auto"/>
        <w:rPr>
          <w:rFonts w:hint="eastAsia" w:ascii="楷体" w:hAnsi="楷体" w:eastAsia="楷体" w:cs="楷体"/>
          <w:b/>
          <w:bCs/>
          <w:color w:val="000000"/>
          <w:kern w:val="0"/>
          <w:sz w:val="32"/>
          <w:szCs w:val="32"/>
        </w:rPr>
      </w:pPr>
      <w:r>
        <w:rPr>
          <w:rFonts w:hint="eastAsia" w:ascii="楷体" w:hAnsi="楷体" w:eastAsia="楷体" w:cs="楷体"/>
          <w:b/>
          <w:bCs/>
          <w:color w:val="000000"/>
          <w:kern w:val="0"/>
          <w:sz w:val="32"/>
          <w:szCs w:val="32"/>
        </w:rPr>
        <w:t>（一）补齐监督短板，实现关键环节全覆盖。</w:t>
      </w:r>
    </w:p>
    <w:p w14:paraId="63F3C00A">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方正仿宋_GBK" w:eastAsia="仿宋_GB2312" w:cs="方正仿宋_GBK"/>
          <w:color w:val="000000"/>
          <w:kern w:val="0"/>
          <w:sz w:val="32"/>
          <w:szCs w:val="32"/>
        </w:rPr>
      </w:pPr>
      <w:r>
        <w:rPr>
          <w:rFonts w:hint="eastAsia" w:ascii="仿宋_GB2312" w:hAnsi="方正仿宋_GBK" w:eastAsia="仿宋_GB2312" w:cs="方正仿宋_GBK"/>
          <w:color w:val="000000"/>
          <w:kern w:val="0"/>
          <w:sz w:val="32"/>
          <w:szCs w:val="32"/>
        </w:rPr>
        <w:t>修订完善单招考试工作方案，明确纪检人员在试卷运输、保密室值守、技能考核等全流程的监督职责和到场要求，建立监督台账，做到监督无死角、无盲区。</w:t>
      </w:r>
    </w:p>
    <w:p w14:paraId="51F02A4F">
      <w:pPr>
        <w:keepNext w:val="0"/>
        <w:keepLines w:val="0"/>
        <w:pageBreakBefore w:val="0"/>
        <w:widowControl/>
        <w:kinsoku/>
        <w:wordWrap/>
        <w:overflowPunct/>
        <w:topLinePunct w:val="0"/>
        <w:autoSpaceDE/>
        <w:autoSpaceDN/>
        <w:bidi w:val="0"/>
        <w:adjustRightInd/>
        <w:snapToGrid/>
        <w:spacing w:line="600" w:lineRule="exact"/>
        <w:ind w:firstLine="643" w:firstLineChars="200"/>
        <w:jc w:val="both"/>
        <w:textAlignment w:val="auto"/>
        <w:rPr>
          <w:rFonts w:hint="eastAsia" w:ascii="楷体" w:hAnsi="楷体" w:eastAsia="楷体" w:cs="楷体"/>
          <w:b/>
          <w:bCs/>
          <w:color w:val="000000"/>
          <w:kern w:val="0"/>
          <w:sz w:val="32"/>
          <w:szCs w:val="32"/>
        </w:rPr>
      </w:pPr>
      <w:r>
        <w:rPr>
          <w:rFonts w:hint="eastAsia" w:ascii="楷体" w:hAnsi="楷体" w:eastAsia="楷体" w:cs="楷体"/>
          <w:b/>
          <w:bCs/>
          <w:color w:val="000000"/>
          <w:kern w:val="0"/>
          <w:sz w:val="32"/>
          <w:szCs w:val="32"/>
        </w:rPr>
        <w:t>（二）强化制度执行，严肃追责问责。</w:t>
      </w:r>
    </w:p>
    <w:p w14:paraId="385A5303">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方正仿宋_GBK" w:eastAsia="仿宋_GB2312" w:cs="方正仿宋_GBK"/>
          <w:color w:val="000000"/>
          <w:kern w:val="0"/>
          <w:sz w:val="32"/>
          <w:szCs w:val="32"/>
        </w:rPr>
      </w:pPr>
      <w:r>
        <w:rPr>
          <w:rFonts w:hint="eastAsia" w:ascii="仿宋_GB2312" w:hAnsi="方正仿宋_GBK" w:eastAsia="仿宋_GB2312" w:cs="方正仿宋_GBK"/>
          <w:color w:val="000000"/>
          <w:kern w:val="0"/>
          <w:sz w:val="32"/>
          <w:szCs w:val="32"/>
        </w:rPr>
        <w:t>对保密承诺书签署等程序性要求实行清单化管理，考前逐一核查、逐一签字确认，对制度执行不到位的严肃通报批评，确保各项制度规定落地见效。</w:t>
      </w:r>
    </w:p>
    <w:p w14:paraId="2B0B6E04">
      <w:pPr>
        <w:keepNext w:val="0"/>
        <w:keepLines w:val="0"/>
        <w:pageBreakBefore w:val="0"/>
        <w:widowControl/>
        <w:kinsoku/>
        <w:wordWrap/>
        <w:overflowPunct/>
        <w:topLinePunct w:val="0"/>
        <w:autoSpaceDE/>
        <w:autoSpaceDN/>
        <w:bidi w:val="0"/>
        <w:adjustRightInd/>
        <w:snapToGrid/>
        <w:spacing w:line="600" w:lineRule="exact"/>
        <w:ind w:firstLine="643" w:firstLineChars="200"/>
        <w:jc w:val="both"/>
        <w:textAlignment w:val="auto"/>
        <w:rPr>
          <w:rFonts w:hint="eastAsia" w:ascii="楷体" w:hAnsi="楷体" w:eastAsia="楷体" w:cs="楷体"/>
          <w:b/>
          <w:bCs/>
          <w:color w:val="000000"/>
          <w:kern w:val="0"/>
          <w:sz w:val="32"/>
          <w:szCs w:val="32"/>
        </w:rPr>
      </w:pPr>
      <w:r>
        <w:rPr>
          <w:rFonts w:hint="eastAsia" w:ascii="楷体" w:hAnsi="楷体" w:eastAsia="楷体" w:cs="楷体"/>
          <w:b/>
          <w:bCs/>
          <w:color w:val="000000"/>
          <w:kern w:val="0"/>
          <w:sz w:val="32"/>
          <w:szCs w:val="32"/>
        </w:rPr>
        <w:t>（三）深化警示教育，筑牢思想防线。</w:t>
      </w:r>
    </w:p>
    <w:p w14:paraId="478FD11B">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ascii="仿宋_GB2312" w:hAnsi="仿宋_GB2312" w:eastAsia="仿宋_GB2312" w:cs="仿宋_GB2312"/>
          <w:sz w:val="32"/>
          <w:szCs w:val="32"/>
        </w:rPr>
      </w:pPr>
      <w:r>
        <w:rPr>
          <w:rFonts w:hint="eastAsia" w:ascii="仿宋_GB2312" w:hAnsi="方正仿宋_GBK" w:eastAsia="仿宋_GB2312" w:cs="方正仿宋_GBK"/>
          <w:color w:val="000000"/>
          <w:kern w:val="0"/>
          <w:sz w:val="32"/>
          <w:szCs w:val="32"/>
        </w:rPr>
        <w:t>结合招生领域典型案例，对考务人员开展全覆盖廉政警示教育，明确纪律红线和行为底线，切实增强规矩意识和责任意识，从源头上防范招生领域廉政风险。</w:t>
      </w:r>
    </w:p>
    <w:p w14:paraId="6216F355">
      <w:pPr>
        <w:keepNext w:val="0"/>
        <w:keepLines w:val="0"/>
        <w:pageBreakBefore w:val="0"/>
        <w:kinsoku/>
        <w:wordWrap/>
        <w:overflowPunct/>
        <w:topLinePunct w:val="0"/>
        <w:autoSpaceDE/>
        <w:autoSpaceDN/>
        <w:bidi w:val="0"/>
        <w:ind w:firstLine="400" w:firstLineChars="200"/>
        <w:jc w:val="both"/>
        <w:textAlignment w:val="auto"/>
        <w:rPr>
          <w:rFonts w:ascii="黑体" w:hAnsi="黑体" w:eastAsia="黑体" w:cs="黑体"/>
          <w:sz w:val="20"/>
          <w:szCs w:val="32"/>
        </w:rPr>
      </w:pPr>
    </w:p>
    <w:p w14:paraId="2701F430">
      <w:pPr>
        <w:keepNext w:val="0"/>
        <w:keepLines w:val="0"/>
        <w:pageBreakBefore w:val="0"/>
        <w:kinsoku/>
        <w:wordWrap/>
        <w:overflowPunct/>
        <w:topLinePunct w:val="0"/>
        <w:autoSpaceDE/>
        <w:autoSpaceDN/>
        <w:bidi w:val="0"/>
        <w:adjustRightInd w:val="0"/>
        <w:snapToGrid w:val="0"/>
        <w:spacing w:line="585" w:lineRule="exact"/>
        <w:ind w:firstLine="400" w:firstLineChars="200"/>
        <w:jc w:val="both"/>
        <w:textAlignment w:val="auto"/>
        <w:rPr>
          <w:rFonts w:ascii="黑体" w:hAnsi="黑体" w:eastAsia="黑体" w:cs="黑体"/>
          <w:sz w:val="20"/>
          <w:szCs w:val="32"/>
        </w:rPr>
        <w:sectPr>
          <w:footerReference r:id="rId3" w:type="default"/>
          <w:footerReference r:id="rId4" w:type="even"/>
          <w:pgSz w:w="11906" w:h="16838"/>
          <w:pgMar w:top="2155" w:right="1435" w:bottom="1588" w:left="1435" w:header="851" w:footer="1588" w:gutter="0"/>
          <w:cols w:space="425" w:num="1"/>
          <w:titlePg/>
          <w:docGrid w:type="lines" w:linePitch="312" w:charSpace="0"/>
        </w:sectPr>
      </w:pPr>
    </w:p>
    <w:p w14:paraId="355D5CD1">
      <w:bookmarkStart w:id="0" w:name="_GoBack"/>
      <w:bookmarkEnd w:id="0"/>
    </w:p>
    <w:sectPr>
      <w:type w:val="continuous"/>
      <w:pgSz w:w="16838" w:h="11906" w:orient="landscape"/>
      <w:pgMar w:top="1435" w:right="1435" w:bottom="1435" w:left="1435" w:header="851" w:footer="158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方正仿宋_GBK">
    <w:altName w:val="微软雅黑"/>
    <w:panose1 w:val="02000000000000000000"/>
    <w:charset w:val="86"/>
    <w:family w:val="script"/>
    <w:pitch w:val="default"/>
    <w:sig w:usb0="00000000" w:usb1="00000000" w:usb2="00082016"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57038"/>
    </w:sdtPr>
    <w:sdtEndPr>
      <w:rPr>
        <w:color w:val="FFFFFF" w:themeColor="background1"/>
        <w14:textFill>
          <w14:solidFill>
            <w14:schemeClr w14:val="bg1"/>
          </w14:solidFill>
        </w14:textFill>
      </w:rPr>
    </w:sdtEndPr>
    <w:sdtContent>
      <w:p w14:paraId="035421D5">
        <w:pPr>
          <w:pStyle w:val="2"/>
          <w:jc w:val="right"/>
          <w:rPr>
            <w:color w:val="FFFFFF" w:themeColor="background1"/>
            <w14:textFill>
              <w14:solidFill>
                <w14:schemeClr w14:val="bg1"/>
              </w14:solidFill>
            </w14:textFill>
          </w:rPr>
        </w:pPr>
        <w:r>
          <w:rPr>
            <w:rFonts w:hint="eastAsia" w:asciiTheme="minorEastAsia" w:hAnsiTheme="minorEastAsia"/>
            <w:sz w:val="28"/>
          </w:rPr>
          <w:t>—</w:t>
        </w:r>
        <w:r>
          <w:rPr>
            <w:rFonts w:asciiTheme="minorEastAsia" w:hAnsiTheme="minorEastAsia"/>
            <w:sz w:val="28"/>
          </w:rPr>
          <w:fldChar w:fldCharType="begin"/>
        </w:r>
        <w:r>
          <w:rPr>
            <w:rFonts w:asciiTheme="minorEastAsia" w:hAnsiTheme="minorEastAsia"/>
            <w:sz w:val="28"/>
          </w:rPr>
          <w:instrText xml:space="preserve"> PAGE   \* MERGEFORMAT </w:instrText>
        </w:r>
        <w:r>
          <w:rPr>
            <w:rFonts w:asciiTheme="minorEastAsia" w:hAnsiTheme="minorEastAsia"/>
            <w:sz w:val="28"/>
          </w:rPr>
          <w:fldChar w:fldCharType="separate"/>
        </w:r>
        <w:r>
          <w:rPr>
            <w:rFonts w:asciiTheme="minorEastAsia" w:hAnsiTheme="minorEastAsia"/>
            <w:sz w:val="28"/>
            <w:lang w:val="zh-CN"/>
          </w:rPr>
          <w:t>3</w:t>
        </w:r>
        <w:r>
          <w:rPr>
            <w:rFonts w:asciiTheme="minorEastAsia" w:hAnsiTheme="minorEastAsia"/>
            <w:sz w:val="28"/>
          </w:rPr>
          <w:fldChar w:fldCharType="end"/>
        </w:r>
        <w:r>
          <w:rPr>
            <w:rFonts w:hint="eastAsia" w:asciiTheme="minorEastAsia" w:hAnsiTheme="minorEastAsia"/>
            <w:sz w:val="28"/>
          </w:rPr>
          <w:t>—</w:t>
        </w:r>
        <w:r>
          <w:rPr>
            <w:rFonts w:hint="eastAsia" w:asciiTheme="minorEastAsia" w:hAnsiTheme="minorEastAsia"/>
            <w:color w:val="FFFFFF" w:themeColor="background1"/>
            <w:sz w:val="28"/>
            <w14:textFill>
              <w14:solidFill>
                <w14:schemeClr w14:val="bg1"/>
              </w14:solidFill>
            </w14:textFill>
          </w:rPr>
          <w:t>—</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0AED3">
    <w:pPr>
      <w:pStyle w:val="2"/>
      <w:rPr>
        <w:rFonts w:asciiTheme="minorEastAsia" w:hAnsiTheme="minorEastAsia"/>
        <w:sz w:val="28"/>
      </w:rPr>
    </w:pPr>
    <w:r>
      <w:rPr>
        <w:rFonts w:hint="eastAsia" w:asciiTheme="minorEastAsia" w:hAnsiTheme="minorEastAsia"/>
        <w:color w:val="FFFFFF" w:themeColor="background1"/>
        <w:sz w:val="28"/>
        <w14:textFill>
          <w14:solidFill>
            <w14:schemeClr w14:val="bg1"/>
          </w14:solidFill>
        </w14:textFill>
      </w:rPr>
      <w:t>—</w:t>
    </w:r>
    <w:r>
      <w:rPr>
        <w:rFonts w:hint="eastAsia" w:asciiTheme="minorEastAsia" w:hAnsiTheme="minorEastAsia"/>
        <w:sz w:val="28"/>
      </w:rPr>
      <w:t>—</w:t>
    </w:r>
    <w:sdt>
      <w:sdtPr>
        <w:rPr>
          <w:rFonts w:asciiTheme="minorEastAsia" w:hAnsiTheme="minorEastAsia"/>
          <w:sz w:val="28"/>
        </w:rPr>
        <w:id w:val="3657037"/>
      </w:sdtPr>
      <w:sdtEndPr>
        <w:rPr>
          <w:rFonts w:asciiTheme="minorEastAsia" w:hAnsiTheme="minorEastAsia"/>
          <w:sz w:val="28"/>
        </w:rPr>
      </w:sdtEndPr>
      <w:sdtContent>
        <w:r>
          <w:rPr>
            <w:rFonts w:asciiTheme="minorEastAsia" w:hAnsiTheme="minorEastAsia"/>
            <w:sz w:val="28"/>
          </w:rPr>
          <w:fldChar w:fldCharType="begin"/>
        </w:r>
        <w:r>
          <w:rPr>
            <w:rFonts w:asciiTheme="minorEastAsia" w:hAnsiTheme="minorEastAsia"/>
            <w:sz w:val="28"/>
          </w:rPr>
          <w:instrText xml:space="preserve"> PAGE   \* MERGEFORMAT </w:instrText>
        </w:r>
        <w:r>
          <w:rPr>
            <w:rFonts w:asciiTheme="minorEastAsia" w:hAnsiTheme="minorEastAsia"/>
            <w:sz w:val="28"/>
          </w:rPr>
          <w:fldChar w:fldCharType="separate"/>
        </w:r>
        <w:r>
          <w:rPr>
            <w:rFonts w:asciiTheme="minorEastAsia" w:hAnsiTheme="minorEastAsia"/>
            <w:sz w:val="28"/>
            <w:lang w:val="zh-CN"/>
          </w:rPr>
          <w:t>4</w:t>
        </w:r>
        <w:r>
          <w:rPr>
            <w:rFonts w:asciiTheme="minorEastAsia" w:hAnsiTheme="minorEastAsia"/>
            <w:sz w:val="28"/>
          </w:rPr>
          <w:fldChar w:fldCharType="end"/>
        </w:r>
      </w:sdtContent>
    </w:sdt>
    <w:r>
      <w:rPr>
        <w:rFonts w:hint="eastAsia" w:asciiTheme="minorEastAsia" w:hAnsiTheme="minorEastAsia"/>
        <w:sz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901601"/>
    <w:rsid w:val="03441469"/>
    <w:rsid w:val="0EF65F39"/>
    <w:rsid w:val="102D3853"/>
    <w:rsid w:val="18951461"/>
    <w:rsid w:val="1BC42F69"/>
    <w:rsid w:val="3AD273C0"/>
    <w:rsid w:val="4ECF74D9"/>
    <w:rsid w:val="602202C6"/>
    <w:rsid w:val="6FB4714D"/>
    <w:rsid w:val="709016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2</TotalTime>
  <ScaleCrop>false</ScaleCrop>
  <LinksUpToDate>false</LinksUpToDate>
  <CharactersWithSpaces>0</CharactersWithSpaces>
  <Application>WPS Office_12.8.2.17155_F1E327BC-269C-435d-A152-05C5408002CA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2026-08-14T12:23:00Z</dcterms:created>
  <dc:creator>江西樟树中医药职业学院-招就处</dc:creator>
  <cp:lastModifiedBy>青鸟飞鱼</cp:lastModifiedBy>
  <dcterms:modified xsi:type="dcterms:W3CDTF">2026-10-13T03:22:54Z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2052-12.8.2.17155</vt:lpwstr>
  </property>
  <property fmtid="{D5CDD505-2E9C-101B-9397-08002B2CF9AE}" pid="3" name="ICV">
    <vt:lpwstr>11A5F3EEFF7B43AC8A462CFA10F10630_11</vt:lpwstr>
  </property>
</Properties>
</file>