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440517">
      <w:pPr>
        <w:spacing w:before="1200" w:after="0" w:line="560" w:lineRule="exact"/>
      </w:pPr>
    </w:p>
    <w:p w14:paraId="20FD0C83">
      <w:pPr>
        <w:spacing w:before="0" w:after="200" w:line="560" w:lineRule="exact"/>
        <w:jc w:val="center"/>
      </w:pPr>
      <w:r>
        <w:rPr>
          <w:rFonts w:ascii="Times New Roman" w:hAnsi="Times New Roman" w:eastAsia="黑体"/>
          <w:b w:val="0"/>
          <w:bCs w:val="0"/>
          <w:sz w:val="44"/>
          <w:szCs w:val="44"/>
        </w:rPr>
        <w:t>江西樟树中医药职业学院</w:t>
      </w:r>
    </w:p>
    <w:p w14:paraId="1E285CD1">
      <w:pPr>
        <w:spacing w:before="0" w:after="600" w:line="560" w:lineRule="exact"/>
        <w:jc w:val="center"/>
      </w:pPr>
      <w:r>
        <w:rPr>
          <w:rFonts w:eastAsia="黑体"/>
          <w:b w:val="0"/>
          <w:bCs w:val="0"/>
          <w:sz w:val="44"/>
          <w:szCs w:val="44"/>
        </w:rPr>
        <w:t>2027</w:t>
      </w:r>
      <w:r>
        <w:rPr>
          <w:rFonts w:ascii="Times New Roman" w:hAnsi="Times New Roman" w:eastAsia="黑体"/>
          <w:b w:val="0"/>
          <w:bCs w:val="0"/>
          <w:sz w:val="44"/>
          <w:szCs w:val="44"/>
        </w:rPr>
        <w:t>年高职单招招生宣传培训方案</w:t>
      </w:r>
    </w:p>
    <w:p w14:paraId="40EDE037">
      <w:pPr>
        <w:spacing w:before="0" w:after="200" w:line="560" w:lineRule="exact"/>
        <w:jc w:val="center"/>
        <w:rPr>
          <w:rFonts w:eastAsia="仿宋"/>
          <w:b w:val="0"/>
          <w:bCs w:val="0"/>
          <w:sz w:val="32"/>
          <w:szCs w:val="32"/>
        </w:rPr>
      </w:pPr>
    </w:p>
    <w:p w14:paraId="74F283D4">
      <w:pPr>
        <w:spacing w:before="0" w:after="200" w:line="560" w:lineRule="exact"/>
        <w:jc w:val="center"/>
        <w:rPr>
          <w:rFonts w:eastAsia="仿宋"/>
          <w:b w:val="0"/>
          <w:bCs w:val="0"/>
          <w:sz w:val="32"/>
          <w:szCs w:val="32"/>
        </w:rPr>
      </w:pPr>
    </w:p>
    <w:p w14:paraId="75B57CC6">
      <w:pPr>
        <w:spacing w:before="0" w:after="200" w:line="560" w:lineRule="exact"/>
        <w:jc w:val="center"/>
        <w:rPr>
          <w:rFonts w:eastAsia="仿宋"/>
          <w:b w:val="0"/>
          <w:bCs w:val="0"/>
          <w:sz w:val="32"/>
          <w:szCs w:val="32"/>
        </w:rPr>
      </w:pPr>
    </w:p>
    <w:p w14:paraId="289B73E2">
      <w:pPr>
        <w:spacing w:before="0" w:after="200" w:line="560" w:lineRule="exact"/>
        <w:jc w:val="center"/>
        <w:rPr>
          <w:rFonts w:eastAsia="仿宋"/>
          <w:b w:val="0"/>
          <w:bCs w:val="0"/>
          <w:sz w:val="32"/>
          <w:szCs w:val="32"/>
        </w:rPr>
      </w:pPr>
    </w:p>
    <w:p w14:paraId="3D2D6543">
      <w:pPr>
        <w:spacing w:before="0" w:after="200" w:line="560" w:lineRule="exact"/>
        <w:jc w:val="center"/>
        <w:rPr>
          <w:rFonts w:eastAsia="仿宋"/>
          <w:b w:val="0"/>
          <w:bCs w:val="0"/>
          <w:sz w:val="32"/>
          <w:szCs w:val="32"/>
        </w:rPr>
      </w:pPr>
    </w:p>
    <w:p w14:paraId="1715CCA2">
      <w:pPr>
        <w:spacing w:before="0" w:after="200" w:line="560" w:lineRule="exact"/>
        <w:jc w:val="center"/>
        <w:rPr>
          <w:rFonts w:eastAsia="仿宋"/>
          <w:b w:val="0"/>
          <w:bCs w:val="0"/>
          <w:sz w:val="32"/>
          <w:szCs w:val="32"/>
        </w:rPr>
      </w:pPr>
    </w:p>
    <w:p w14:paraId="4C902372">
      <w:pPr>
        <w:spacing w:before="0" w:after="200" w:line="560" w:lineRule="exact"/>
        <w:jc w:val="center"/>
        <w:rPr>
          <w:rFonts w:eastAsia="仿宋"/>
          <w:b w:val="0"/>
          <w:bCs w:val="0"/>
          <w:sz w:val="32"/>
          <w:szCs w:val="32"/>
        </w:rPr>
      </w:pPr>
    </w:p>
    <w:p w14:paraId="4144E9BE">
      <w:pPr>
        <w:spacing w:before="0" w:after="200" w:line="560" w:lineRule="exact"/>
        <w:jc w:val="center"/>
        <w:rPr>
          <w:rFonts w:eastAsia="仿宋"/>
          <w:b w:val="0"/>
          <w:bCs w:val="0"/>
          <w:sz w:val="32"/>
          <w:szCs w:val="32"/>
        </w:rPr>
      </w:pPr>
    </w:p>
    <w:p w14:paraId="4798F75A">
      <w:pPr>
        <w:spacing w:before="0" w:after="200" w:line="560" w:lineRule="exact"/>
        <w:jc w:val="center"/>
        <w:rPr>
          <w:rFonts w:eastAsia="仿宋"/>
          <w:b w:val="0"/>
          <w:bCs w:val="0"/>
          <w:sz w:val="32"/>
          <w:szCs w:val="32"/>
        </w:rPr>
      </w:pPr>
    </w:p>
    <w:p w14:paraId="13335614">
      <w:pPr>
        <w:spacing w:before="0" w:after="200" w:line="560" w:lineRule="exact"/>
        <w:jc w:val="center"/>
        <w:rPr>
          <w:rFonts w:eastAsia="仿宋"/>
          <w:b w:val="0"/>
          <w:bCs w:val="0"/>
          <w:sz w:val="32"/>
          <w:szCs w:val="32"/>
        </w:rPr>
      </w:pPr>
    </w:p>
    <w:p w14:paraId="754FD650">
      <w:pPr>
        <w:spacing w:before="0" w:after="200" w:line="560" w:lineRule="exact"/>
        <w:jc w:val="center"/>
      </w:pPr>
      <w:r>
        <w:rPr>
          <w:rFonts w:eastAsia="仿宋"/>
          <w:b w:val="0"/>
          <w:bCs w:val="0"/>
          <w:sz w:val="32"/>
          <w:szCs w:val="32"/>
        </w:rPr>
        <w:t>2027</w:t>
      </w:r>
      <w:r>
        <w:rPr>
          <w:rFonts w:ascii="Times New Roman" w:hAnsi="Times New Roman"/>
          <w:b w:val="0"/>
          <w:bCs w:val="0"/>
          <w:sz w:val="32"/>
          <w:szCs w:val="32"/>
        </w:rPr>
        <w:t>年</w:t>
      </w:r>
      <w:r>
        <w:rPr>
          <w:rFonts w:hint="eastAsia"/>
          <w:b w:val="0"/>
          <w:bCs w:val="0"/>
          <w:sz w:val="32"/>
          <w:szCs w:val="32"/>
          <w:lang w:val="en-US" w:eastAsia="zh-CN"/>
        </w:rPr>
        <w:t xml:space="preserve">  </w:t>
      </w:r>
      <w:r>
        <w:rPr>
          <w:rFonts w:ascii="Times New Roman" w:hAnsi="Times New Roman"/>
          <w:b w:val="0"/>
          <w:bCs w:val="0"/>
          <w:sz w:val="32"/>
          <w:szCs w:val="32"/>
        </w:rPr>
        <w:t>　月</w:t>
      </w:r>
      <w:r>
        <w:rPr>
          <w:rFonts w:hint="eastAsia"/>
          <w:b w:val="0"/>
          <w:bCs w:val="0"/>
          <w:sz w:val="32"/>
          <w:szCs w:val="32"/>
          <w:lang w:val="en-US" w:eastAsia="zh-CN"/>
        </w:rPr>
        <w:t xml:space="preserve">  </w:t>
      </w:r>
      <w:r>
        <w:rPr>
          <w:rFonts w:ascii="Times New Roman" w:hAnsi="Times New Roman"/>
          <w:b w:val="0"/>
          <w:bCs w:val="0"/>
          <w:sz w:val="32"/>
          <w:szCs w:val="32"/>
        </w:rPr>
        <w:t>　日</w:t>
      </w:r>
    </w:p>
    <w:p w14:paraId="4B067F15">
      <w:pPr>
        <w:spacing w:before="0" w:after="400" w:line="560" w:lineRule="exact"/>
        <w:jc w:val="center"/>
      </w:pPr>
      <w:r>
        <w:rPr>
          <w:rFonts w:ascii="Times New Roman" w:hAnsi="Times New Roman"/>
          <w:b w:val="0"/>
          <w:bCs w:val="0"/>
          <w:sz w:val="32"/>
          <w:szCs w:val="32"/>
        </w:rPr>
        <w:t>主办单位：江西樟树中医药职业学院招生处</w:t>
      </w:r>
    </w:p>
    <w:p w14:paraId="33E66B28">
      <w:r>
        <w:br w:type="page"/>
      </w:r>
      <w:r>
        <w:rPr>
          <w:rFonts w:hint="eastAsia"/>
          <w:lang w:val="en-US" w:eastAsia="zh-CN"/>
        </w:rPr>
        <w:t xml:space="preserve">                                           </w:t>
      </w:r>
      <w:r>
        <w:rPr>
          <w:rFonts w:ascii="Times New Roman" w:hAnsi="Times New Roman" w:eastAsia="黑体"/>
          <w:b w:val="0"/>
          <w:bCs w:val="0"/>
          <w:sz w:val="36"/>
          <w:szCs w:val="36"/>
        </w:rPr>
        <w:t>目　　录</w:t>
      </w:r>
    </w:p>
    <w:p w14:paraId="4B34F44C">
      <w:pPr>
        <w:tabs>
          <w:tab w:val="right" w:leader="dot" w:pos="8845"/>
        </w:tabs>
        <w:spacing w:before="80" w:after="0" w:line="480" w:lineRule="exact"/>
      </w:pPr>
      <w:r>
        <w:rPr>
          <w:rFonts w:ascii="Times New Roman" w:hAnsi="Times New Roman" w:eastAsia="黑体"/>
          <w:sz w:val="32"/>
          <w:szCs w:val="32"/>
        </w:rPr>
        <w:t>一、招生宣传工作总则</w:t>
      </w:r>
      <w:r>
        <w:tab/>
      </w:r>
      <w:r>
        <w:rPr>
          <w:rFonts w:eastAsia="黑体"/>
          <w:sz w:val="32"/>
          <w:szCs w:val="32"/>
        </w:rPr>
        <w:t>1</w:t>
      </w:r>
    </w:p>
    <w:p w14:paraId="25A5530F">
      <w:pPr>
        <w:tabs>
          <w:tab w:val="right" w:leader="dot" w:pos="8845"/>
        </w:tabs>
        <w:spacing w:before="0" w:after="0" w:line="480" w:lineRule="exact"/>
        <w:ind w:firstLine="640"/>
      </w:pPr>
      <w:r>
        <w:rPr>
          <w:rFonts w:ascii="Times New Roman" w:hAnsi="Times New Roman"/>
          <w:sz w:val="32"/>
          <w:szCs w:val="32"/>
        </w:rPr>
        <w:t>（一）制定背景与政策依据</w:t>
      </w:r>
      <w:r>
        <w:tab/>
      </w:r>
      <w:r>
        <w:rPr>
          <w:rFonts w:eastAsia="仿宋"/>
          <w:sz w:val="32"/>
          <w:szCs w:val="32"/>
        </w:rPr>
        <w:t>1</w:t>
      </w:r>
    </w:p>
    <w:p w14:paraId="62423A55">
      <w:pPr>
        <w:tabs>
          <w:tab w:val="right" w:leader="dot" w:pos="8845"/>
        </w:tabs>
        <w:spacing w:before="0" w:after="0" w:line="480" w:lineRule="exact"/>
        <w:ind w:firstLine="640"/>
      </w:pPr>
      <w:r>
        <w:rPr>
          <w:rFonts w:ascii="Times New Roman" w:hAnsi="Times New Roman"/>
          <w:sz w:val="32"/>
          <w:szCs w:val="32"/>
        </w:rPr>
        <w:t>（二）宣传核心定位</w:t>
      </w:r>
      <w:r>
        <w:tab/>
      </w:r>
      <w:r>
        <w:rPr>
          <w:rFonts w:eastAsia="仿宋"/>
          <w:sz w:val="32"/>
          <w:szCs w:val="32"/>
        </w:rPr>
        <w:t>1</w:t>
      </w:r>
    </w:p>
    <w:p w14:paraId="70D2ECD9">
      <w:pPr>
        <w:tabs>
          <w:tab w:val="right" w:leader="dot" w:pos="8845"/>
        </w:tabs>
        <w:spacing w:before="0" w:after="0" w:line="480" w:lineRule="exact"/>
        <w:ind w:firstLine="640"/>
      </w:pPr>
      <w:r>
        <w:rPr>
          <w:rFonts w:ascii="Times New Roman" w:hAnsi="Times New Roman"/>
          <w:sz w:val="32"/>
          <w:szCs w:val="32"/>
        </w:rPr>
        <w:t>（三）宣传基本原则</w:t>
      </w:r>
      <w:r>
        <w:tab/>
      </w:r>
      <w:r>
        <w:rPr>
          <w:rFonts w:eastAsia="仿宋"/>
          <w:sz w:val="32"/>
          <w:szCs w:val="32"/>
        </w:rPr>
        <w:t>1</w:t>
      </w:r>
    </w:p>
    <w:p w14:paraId="027574EB">
      <w:pPr>
        <w:tabs>
          <w:tab w:val="right" w:leader="dot" w:pos="8845"/>
        </w:tabs>
        <w:spacing w:before="0" w:after="0" w:line="480" w:lineRule="exact"/>
        <w:ind w:firstLine="640"/>
      </w:pPr>
      <w:r>
        <w:rPr>
          <w:rFonts w:ascii="Times New Roman" w:hAnsi="Times New Roman"/>
          <w:sz w:val="32"/>
          <w:szCs w:val="32"/>
        </w:rPr>
        <w:t>（四）宣传总体目标与周期安排</w:t>
      </w:r>
      <w:r>
        <w:tab/>
      </w:r>
      <w:r>
        <w:rPr>
          <w:rFonts w:eastAsia="仿宋"/>
          <w:sz w:val="32"/>
          <w:szCs w:val="32"/>
        </w:rPr>
        <w:t>2</w:t>
      </w:r>
    </w:p>
    <w:p w14:paraId="692EE409">
      <w:pPr>
        <w:tabs>
          <w:tab w:val="right" w:leader="dot" w:pos="8845"/>
        </w:tabs>
        <w:spacing w:before="80" w:after="0" w:line="480" w:lineRule="exact"/>
      </w:pPr>
      <w:r>
        <w:rPr>
          <w:rFonts w:ascii="Times New Roman" w:hAnsi="Times New Roman" w:eastAsia="黑体"/>
          <w:sz w:val="32"/>
          <w:szCs w:val="32"/>
        </w:rPr>
        <w:t>二、</w:t>
      </w:r>
      <w:r>
        <w:rPr>
          <w:rFonts w:eastAsia="黑体"/>
          <w:sz w:val="32"/>
          <w:szCs w:val="32"/>
        </w:rPr>
        <w:t>2027</w:t>
      </w:r>
      <w:r>
        <w:rPr>
          <w:rFonts w:ascii="Times New Roman" w:hAnsi="Times New Roman" w:eastAsia="黑体"/>
          <w:sz w:val="32"/>
          <w:szCs w:val="32"/>
        </w:rPr>
        <w:t>年高职单招招生宣传培训日程表</w:t>
      </w:r>
      <w:r>
        <w:tab/>
      </w:r>
      <w:r>
        <w:rPr>
          <w:rFonts w:eastAsia="黑体"/>
          <w:sz w:val="32"/>
          <w:szCs w:val="32"/>
        </w:rPr>
        <w:t>3</w:t>
      </w:r>
    </w:p>
    <w:p w14:paraId="415B1601">
      <w:pPr>
        <w:tabs>
          <w:tab w:val="right" w:leader="dot" w:pos="8845"/>
        </w:tabs>
        <w:spacing w:before="80" w:after="0" w:line="480" w:lineRule="exact"/>
      </w:pPr>
      <w:r>
        <w:rPr>
          <w:rFonts w:ascii="Times New Roman" w:hAnsi="Times New Roman" w:eastAsia="黑体"/>
          <w:sz w:val="32"/>
          <w:szCs w:val="32"/>
        </w:rPr>
        <w:t>三、学院核心概况</w:t>
      </w:r>
      <w:r>
        <w:tab/>
      </w:r>
      <w:r>
        <w:rPr>
          <w:rFonts w:eastAsia="黑体"/>
          <w:sz w:val="32"/>
          <w:szCs w:val="32"/>
        </w:rPr>
        <w:t>3</w:t>
      </w:r>
    </w:p>
    <w:p w14:paraId="735FACBC">
      <w:pPr>
        <w:tabs>
          <w:tab w:val="right" w:leader="dot" w:pos="8845"/>
        </w:tabs>
        <w:spacing w:before="0" w:after="0" w:line="480" w:lineRule="exact"/>
        <w:ind w:firstLine="640"/>
      </w:pPr>
      <w:r>
        <w:rPr>
          <w:rFonts w:ascii="Times New Roman" w:hAnsi="Times New Roman"/>
          <w:sz w:val="32"/>
          <w:szCs w:val="32"/>
        </w:rPr>
        <w:t>（一）办学资质与办学定位</w:t>
      </w:r>
      <w:r>
        <w:tab/>
      </w:r>
      <w:r>
        <w:rPr>
          <w:rFonts w:eastAsia="仿宋"/>
          <w:sz w:val="32"/>
          <w:szCs w:val="32"/>
        </w:rPr>
        <w:t>4</w:t>
      </w:r>
    </w:p>
    <w:p w14:paraId="793116AD">
      <w:pPr>
        <w:tabs>
          <w:tab w:val="right" w:leader="dot" w:pos="8845"/>
        </w:tabs>
        <w:spacing w:before="0" w:after="0" w:line="480" w:lineRule="exact"/>
        <w:ind w:firstLine="640"/>
      </w:pPr>
      <w:r>
        <w:rPr>
          <w:rFonts w:ascii="Times New Roman" w:hAnsi="Times New Roman"/>
          <w:sz w:val="32"/>
          <w:szCs w:val="32"/>
        </w:rPr>
        <w:t>（二）办学硬件与实训条件</w:t>
      </w:r>
      <w:r>
        <w:tab/>
      </w:r>
      <w:r>
        <w:rPr>
          <w:rFonts w:eastAsia="仿宋"/>
          <w:sz w:val="32"/>
          <w:szCs w:val="32"/>
        </w:rPr>
        <w:t>4</w:t>
      </w:r>
    </w:p>
    <w:p w14:paraId="0797AD3E">
      <w:pPr>
        <w:tabs>
          <w:tab w:val="right" w:leader="dot" w:pos="8845"/>
        </w:tabs>
        <w:spacing w:before="0" w:after="0" w:line="480" w:lineRule="exact"/>
        <w:ind w:firstLine="640"/>
      </w:pPr>
      <w:r>
        <w:rPr>
          <w:rFonts w:ascii="Times New Roman" w:hAnsi="Times New Roman"/>
          <w:sz w:val="32"/>
          <w:szCs w:val="32"/>
        </w:rPr>
        <w:t>（三）师资队伍配置</w:t>
      </w:r>
      <w:r>
        <w:tab/>
      </w:r>
      <w:r>
        <w:rPr>
          <w:rFonts w:eastAsia="仿宋"/>
          <w:sz w:val="32"/>
          <w:szCs w:val="32"/>
        </w:rPr>
        <w:t>4</w:t>
      </w:r>
    </w:p>
    <w:p w14:paraId="0C88F410">
      <w:pPr>
        <w:tabs>
          <w:tab w:val="right" w:leader="dot" w:pos="8845"/>
        </w:tabs>
        <w:spacing w:before="0" w:after="0" w:line="480" w:lineRule="exact"/>
        <w:ind w:firstLine="640"/>
      </w:pPr>
      <w:r>
        <w:rPr>
          <w:rFonts w:ascii="Times New Roman" w:hAnsi="Times New Roman"/>
          <w:sz w:val="32"/>
          <w:szCs w:val="32"/>
        </w:rPr>
        <w:t>（四）产教融合与校企合作成果</w:t>
      </w:r>
      <w:r>
        <w:tab/>
      </w:r>
      <w:r>
        <w:rPr>
          <w:rFonts w:eastAsia="仿宋"/>
          <w:sz w:val="32"/>
          <w:szCs w:val="32"/>
        </w:rPr>
        <w:t>5</w:t>
      </w:r>
    </w:p>
    <w:p w14:paraId="61455F67">
      <w:pPr>
        <w:tabs>
          <w:tab w:val="right" w:leader="dot" w:pos="8845"/>
        </w:tabs>
        <w:spacing w:before="0" w:after="0" w:line="480" w:lineRule="exact"/>
        <w:ind w:firstLine="640"/>
      </w:pPr>
      <w:r>
        <w:rPr>
          <w:rFonts w:ascii="Times New Roman" w:hAnsi="Times New Roman"/>
          <w:sz w:val="32"/>
          <w:szCs w:val="32"/>
        </w:rPr>
        <w:t>（五）特色办学模式</w:t>
      </w:r>
      <w:r>
        <w:tab/>
      </w:r>
      <w:r>
        <w:rPr>
          <w:rFonts w:eastAsia="仿宋"/>
          <w:sz w:val="32"/>
          <w:szCs w:val="32"/>
        </w:rPr>
        <w:t>5</w:t>
      </w:r>
    </w:p>
    <w:p w14:paraId="28790A4B">
      <w:pPr>
        <w:tabs>
          <w:tab w:val="right" w:leader="dot" w:pos="8845"/>
        </w:tabs>
        <w:spacing w:before="80" w:after="0" w:line="480" w:lineRule="exact"/>
      </w:pPr>
      <w:r>
        <w:rPr>
          <w:rFonts w:ascii="Times New Roman" w:hAnsi="Times New Roman" w:eastAsia="黑体"/>
          <w:sz w:val="32"/>
          <w:szCs w:val="32"/>
        </w:rPr>
        <w:t>四、</w:t>
      </w:r>
      <w:r>
        <w:rPr>
          <w:rFonts w:eastAsia="黑体"/>
          <w:sz w:val="32"/>
          <w:szCs w:val="32"/>
        </w:rPr>
        <w:t>2027</w:t>
      </w:r>
      <w:r>
        <w:rPr>
          <w:rFonts w:ascii="Times New Roman" w:hAnsi="Times New Roman" w:eastAsia="黑体"/>
          <w:sz w:val="32"/>
          <w:szCs w:val="32"/>
        </w:rPr>
        <w:t>年单招招生专业培养体系说明</w:t>
      </w:r>
      <w:r>
        <w:tab/>
      </w:r>
      <w:r>
        <w:rPr>
          <w:rFonts w:eastAsia="黑体"/>
          <w:sz w:val="32"/>
          <w:szCs w:val="32"/>
        </w:rPr>
        <w:t>5</w:t>
      </w:r>
    </w:p>
    <w:p w14:paraId="78341A76">
      <w:pPr>
        <w:tabs>
          <w:tab w:val="right" w:leader="dot" w:pos="8845"/>
        </w:tabs>
        <w:spacing w:before="0" w:after="0" w:line="480" w:lineRule="exact"/>
        <w:ind w:firstLine="640"/>
      </w:pPr>
      <w:r>
        <w:rPr>
          <w:rFonts w:ascii="Times New Roman" w:hAnsi="Times New Roman"/>
          <w:sz w:val="32"/>
          <w:szCs w:val="32"/>
        </w:rPr>
        <w:t>（一）现有成熟招生专业</w:t>
      </w:r>
      <w:r>
        <w:tab/>
      </w:r>
      <w:r>
        <w:rPr>
          <w:rFonts w:eastAsia="仿宋"/>
          <w:sz w:val="32"/>
          <w:szCs w:val="32"/>
        </w:rPr>
        <w:t>5</w:t>
      </w:r>
    </w:p>
    <w:p w14:paraId="04755DE9">
      <w:pPr>
        <w:tabs>
          <w:tab w:val="right" w:leader="dot" w:pos="8845"/>
        </w:tabs>
        <w:spacing w:before="0" w:after="0" w:line="480" w:lineRule="exact"/>
        <w:ind w:firstLine="640"/>
      </w:pPr>
      <w:r>
        <w:rPr>
          <w:rFonts w:ascii="Times New Roman" w:hAnsi="Times New Roman"/>
          <w:sz w:val="32"/>
          <w:szCs w:val="32"/>
        </w:rPr>
        <w:t>（二）新增特色招生专业</w:t>
      </w:r>
      <w:r>
        <w:tab/>
      </w:r>
      <w:r>
        <w:rPr>
          <w:rFonts w:eastAsia="仿宋"/>
          <w:sz w:val="32"/>
          <w:szCs w:val="32"/>
        </w:rPr>
        <w:t>6</w:t>
      </w:r>
    </w:p>
    <w:p w14:paraId="306444EE">
      <w:pPr>
        <w:tabs>
          <w:tab w:val="right" w:leader="dot" w:pos="8845"/>
        </w:tabs>
        <w:spacing w:before="0" w:after="0" w:line="480" w:lineRule="exact"/>
        <w:ind w:firstLine="640"/>
      </w:pPr>
      <w:r>
        <w:rPr>
          <w:rFonts w:ascii="Times New Roman" w:hAnsi="Times New Roman"/>
          <w:sz w:val="32"/>
          <w:szCs w:val="32"/>
        </w:rPr>
        <w:t>（三）专业大类与备考提示</w:t>
      </w:r>
      <w:r>
        <w:tab/>
      </w:r>
      <w:r>
        <w:rPr>
          <w:rFonts w:eastAsia="仿宋"/>
          <w:sz w:val="32"/>
          <w:szCs w:val="32"/>
        </w:rPr>
        <w:t>6</w:t>
      </w:r>
    </w:p>
    <w:p w14:paraId="53D9C8F9">
      <w:pPr>
        <w:tabs>
          <w:tab w:val="right" w:leader="dot" w:pos="8845"/>
        </w:tabs>
        <w:spacing w:before="80" w:after="0" w:line="480" w:lineRule="exact"/>
      </w:pPr>
      <w:r>
        <w:rPr>
          <w:rFonts w:ascii="Times New Roman" w:hAnsi="Times New Roman" w:eastAsia="黑体"/>
          <w:sz w:val="32"/>
          <w:szCs w:val="32"/>
        </w:rPr>
        <w:t>五、专升本升学培养项目全解析</w:t>
      </w:r>
      <w:r>
        <w:tab/>
      </w:r>
      <w:r>
        <w:rPr>
          <w:rFonts w:eastAsia="黑体"/>
          <w:sz w:val="32"/>
          <w:szCs w:val="32"/>
        </w:rPr>
        <w:t>6</w:t>
      </w:r>
    </w:p>
    <w:p w14:paraId="6CC0E4A9">
      <w:pPr>
        <w:tabs>
          <w:tab w:val="right" w:leader="dot" w:pos="8845"/>
        </w:tabs>
        <w:spacing w:before="80" w:after="0" w:line="480" w:lineRule="exact"/>
      </w:pPr>
      <w:r>
        <w:rPr>
          <w:rFonts w:ascii="Times New Roman" w:hAnsi="Times New Roman" w:eastAsia="黑体"/>
          <w:sz w:val="32"/>
          <w:szCs w:val="32"/>
        </w:rPr>
        <w:t>六、中医师承赋能与职业技能培训考证体系</w:t>
      </w:r>
      <w:r>
        <w:tab/>
      </w:r>
      <w:r>
        <w:rPr>
          <w:rFonts w:eastAsia="黑体"/>
          <w:sz w:val="32"/>
          <w:szCs w:val="32"/>
        </w:rPr>
        <w:t>7</w:t>
      </w:r>
    </w:p>
    <w:p w14:paraId="0FC66F0C">
      <w:pPr>
        <w:tabs>
          <w:tab w:val="right" w:leader="dot" w:pos="8845"/>
        </w:tabs>
        <w:spacing w:before="80" w:after="0" w:line="480" w:lineRule="exact"/>
      </w:pPr>
      <w:r>
        <w:rPr>
          <w:rFonts w:ascii="Times New Roman" w:hAnsi="Times New Roman" w:eastAsia="黑体"/>
          <w:sz w:val="32"/>
          <w:szCs w:val="32"/>
        </w:rPr>
        <w:t>七、实习就业保障体系与成果</w:t>
      </w:r>
      <w:r>
        <w:tab/>
      </w:r>
      <w:r>
        <w:rPr>
          <w:rFonts w:eastAsia="黑体"/>
          <w:sz w:val="32"/>
          <w:szCs w:val="32"/>
        </w:rPr>
        <w:t>7</w:t>
      </w:r>
    </w:p>
    <w:p w14:paraId="3F8F8CE9">
      <w:pPr>
        <w:tabs>
          <w:tab w:val="right" w:leader="dot" w:pos="8845"/>
        </w:tabs>
        <w:spacing w:before="80" w:after="0" w:line="480" w:lineRule="exact"/>
      </w:pPr>
      <w:r>
        <w:rPr>
          <w:rFonts w:ascii="Times New Roman" w:hAnsi="Times New Roman" w:eastAsia="黑体"/>
          <w:sz w:val="32"/>
          <w:szCs w:val="32"/>
        </w:rPr>
        <w:t>八、国际留学合作项目介绍</w:t>
      </w:r>
      <w:r>
        <w:tab/>
      </w:r>
      <w:r>
        <w:rPr>
          <w:rFonts w:eastAsia="黑体"/>
          <w:sz w:val="32"/>
          <w:szCs w:val="32"/>
        </w:rPr>
        <w:t>8</w:t>
      </w:r>
    </w:p>
    <w:p w14:paraId="00B1D5C0">
      <w:pPr>
        <w:tabs>
          <w:tab w:val="right" w:leader="dot" w:pos="8845"/>
        </w:tabs>
        <w:spacing w:before="80" w:after="0" w:line="480" w:lineRule="exact"/>
      </w:pPr>
      <w:r>
        <w:rPr>
          <w:rFonts w:ascii="Times New Roman" w:hAnsi="Times New Roman" w:eastAsia="黑体"/>
          <w:sz w:val="32"/>
          <w:szCs w:val="32"/>
        </w:rPr>
        <w:t>九、中医药特色产业研发与文创产品项目介绍</w:t>
      </w:r>
      <w:r>
        <w:tab/>
      </w:r>
      <w:r>
        <w:rPr>
          <w:rFonts w:eastAsia="黑体"/>
          <w:sz w:val="32"/>
          <w:szCs w:val="32"/>
        </w:rPr>
        <w:t>8</w:t>
      </w:r>
    </w:p>
    <w:p w14:paraId="0BDA9240">
      <w:pPr>
        <w:tabs>
          <w:tab w:val="right" w:leader="dot" w:pos="8845"/>
        </w:tabs>
        <w:spacing w:before="80" w:after="0" w:line="480" w:lineRule="exact"/>
      </w:pPr>
      <w:r>
        <w:rPr>
          <w:rFonts w:ascii="Times New Roman" w:hAnsi="Times New Roman" w:eastAsia="黑体"/>
          <w:sz w:val="32"/>
          <w:szCs w:val="32"/>
        </w:rPr>
        <w:t>十、特邀院校优秀招生宣传经验借鉴分享会</w:t>
      </w:r>
      <w:r>
        <w:tab/>
      </w:r>
      <w:r>
        <w:rPr>
          <w:rFonts w:eastAsia="黑体"/>
          <w:sz w:val="32"/>
          <w:szCs w:val="32"/>
        </w:rPr>
        <w:t>9</w:t>
      </w:r>
    </w:p>
    <w:p w14:paraId="3B10A12A">
      <w:pPr>
        <w:tabs>
          <w:tab w:val="right" w:leader="dot" w:pos="8845"/>
        </w:tabs>
        <w:spacing w:before="80" w:after="0" w:line="480" w:lineRule="exact"/>
      </w:pPr>
      <w:r>
        <w:rPr>
          <w:rFonts w:ascii="Times New Roman" w:hAnsi="Times New Roman" w:eastAsia="黑体"/>
          <w:sz w:val="32"/>
          <w:szCs w:val="32"/>
        </w:rPr>
        <w:t>十一、</w:t>
      </w:r>
      <w:r>
        <w:rPr>
          <w:rFonts w:eastAsia="黑体"/>
          <w:sz w:val="32"/>
          <w:szCs w:val="32"/>
        </w:rPr>
        <w:t>2027</w:t>
      </w:r>
      <w:r>
        <w:rPr>
          <w:rFonts w:ascii="Times New Roman" w:hAnsi="Times New Roman" w:eastAsia="黑体"/>
          <w:sz w:val="32"/>
          <w:szCs w:val="32"/>
        </w:rPr>
        <w:t>年江西省高职单招政策核心要点</w:t>
      </w:r>
      <w:r>
        <w:tab/>
      </w:r>
      <w:r>
        <w:rPr>
          <w:rFonts w:eastAsia="黑体"/>
          <w:sz w:val="32"/>
          <w:szCs w:val="32"/>
        </w:rPr>
        <w:t>9</w:t>
      </w:r>
    </w:p>
    <w:p w14:paraId="2806B4CE">
      <w:pPr>
        <w:tabs>
          <w:tab w:val="right" w:leader="dot" w:pos="8845"/>
        </w:tabs>
        <w:spacing w:before="0" w:after="0" w:line="480" w:lineRule="exact"/>
        <w:ind w:firstLine="640"/>
      </w:pPr>
      <w:r>
        <w:rPr>
          <w:rFonts w:ascii="Times New Roman" w:hAnsi="Times New Roman"/>
          <w:sz w:val="32"/>
          <w:szCs w:val="32"/>
        </w:rPr>
        <w:t>（一）政策背景与改革定位</w:t>
      </w:r>
      <w:r>
        <w:tab/>
      </w:r>
      <w:r>
        <w:rPr>
          <w:rFonts w:eastAsia="仿宋"/>
          <w:sz w:val="32"/>
          <w:szCs w:val="32"/>
        </w:rPr>
        <w:t>10</w:t>
      </w:r>
    </w:p>
    <w:p w14:paraId="7065AF84">
      <w:pPr>
        <w:tabs>
          <w:tab w:val="right" w:leader="dot" w:pos="8845"/>
        </w:tabs>
        <w:spacing w:before="0" w:after="0" w:line="480" w:lineRule="exact"/>
        <w:ind w:firstLine="640"/>
      </w:pPr>
      <w:r>
        <w:rPr>
          <w:rFonts w:ascii="Times New Roman" w:hAnsi="Times New Roman"/>
          <w:sz w:val="32"/>
          <w:szCs w:val="32"/>
        </w:rPr>
        <w:t>（二）招生对象与报考条件</w:t>
      </w:r>
      <w:r>
        <w:tab/>
      </w:r>
      <w:r>
        <w:rPr>
          <w:rFonts w:eastAsia="仿宋"/>
          <w:sz w:val="32"/>
          <w:szCs w:val="32"/>
        </w:rPr>
        <w:t>10</w:t>
      </w:r>
    </w:p>
    <w:p w14:paraId="2DAEC5F9">
      <w:pPr>
        <w:tabs>
          <w:tab w:val="right" w:leader="dot" w:pos="8845"/>
        </w:tabs>
        <w:spacing w:before="0" w:after="0" w:line="480" w:lineRule="exact"/>
        <w:ind w:firstLine="640"/>
      </w:pPr>
      <w:r>
        <w:rPr>
          <w:rFonts w:ascii="Times New Roman" w:hAnsi="Times New Roman"/>
          <w:sz w:val="32"/>
          <w:szCs w:val="32"/>
        </w:rPr>
        <w:t>（三）考试模式与分值构成</w:t>
      </w:r>
      <w:r>
        <w:tab/>
      </w:r>
      <w:r>
        <w:rPr>
          <w:rFonts w:eastAsia="仿宋"/>
          <w:sz w:val="32"/>
          <w:szCs w:val="32"/>
        </w:rPr>
        <w:t>10</w:t>
      </w:r>
    </w:p>
    <w:p w14:paraId="36441452">
      <w:pPr>
        <w:tabs>
          <w:tab w:val="right" w:leader="dot" w:pos="8845"/>
        </w:tabs>
        <w:spacing w:before="0" w:after="0" w:line="480" w:lineRule="exact"/>
        <w:ind w:firstLine="640"/>
      </w:pPr>
      <w:r>
        <w:rPr>
          <w:rFonts w:ascii="Times New Roman" w:hAnsi="Times New Roman"/>
          <w:sz w:val="32"/>
          <w:szCs w:val="32"/>
        </w:rPr>
        <w:t>（四）报考流程与关键时间节点</w:t>
      </w:r>
      <w:r>
        <w:tab/>
      </w:r>
      <w:r>
        <w:rPr>
          <w:rFonts w:eastAsia="仿宋"/>
          <w:sz w:val="32"/>
          <w:szCs w:val="32"/>
        </w:rPr>
        <w:t>11</w:t>
      </w:r>
    </w:p>
    <w:p w14:paraId="5C4EF7C8">
      <w:pPr>
        <w:tabs>
          <w:tab w:val="right" w:leader="dot" w:pos="8845"/>
        </w:tabs>
        <w:spacing w:before="0" w:after="0" w:line="480" w:lineRule="exact"/>
        <w:ind w:firstLine="640"/>
      </w:pPr>
      <w:r>
        <w:rPr>
          <w:rFonts w:ascii="Times New Roman" w:hAnsi="Times New Roman"/>
          <w:sz w:val="32"/>
          <w:szCs w:val="32"/>
        </w:rPr>
        <w:t>（五）录取规则与志愿填报</w:t>
      </w:r>
      <w:r>
        <w:tab/>
      </w:r>
      <w:r>
        <w:rPr>
          <w:rFonts w:eastAsia="仿宋"/>
          <w:sz w:val="32"/>
          <w:szCs w:val="32"/>
        </w:rPr>
        <w:t>12</w:t>
      </w:r>
    </w:p>
    <w:p w14:paraId="2969F233">
      <w:pPr>
        <w:tabs>
          <w:tab w:val="right" w:leader="dot" w:pos="8845"/>
        </w:tabs>
        <w:spacing w:before="0" w:after="0" w:line="480" w:lineRule="exact"/>
        <w:ind w:firstLine="640"/>
      </w:pPr>
      <w:r>
        <w:rPr>
          <w:rFonts w:ascii="Times New Roman" w:hAnsi="Times New Roman"/>
          <w:sz w:val="32"/>
          <w:szCs w:val="32"/>
        </w:rPr>
        <w:t>（六）待遇、加分与免试政策</w:t>
      </w:r>
      <w:r>
        <w:tab/>
      </w:r>
      <w:r>
        <w:rPr>
          <w:rFonts w:eastAsia="仿宋"/>
          <w:sz w:val="32"/>
          <w:szCs w:val="32"/>
        </w:rPr>
        <w:t>12</w:t>
      </w:r>
    </w:p>
    <w:p w14:paraId="3FAD0CA2">
      <w:pPr>
        <w:tabs>
          <w:tab w:val="right" w:leader="dot" w:pos="8845"/>
        </w:tabs>
        <w:spacing w:before="0" w:after="0" w:line="480" w:lineRule="exact"/>
        <w:ind w:firstLine="640"/>
      </w:pPr>
      <w:r>
        <w:rPr>
          <w:rFonts w:ascii="Times New Roman" w:hAnsi="Times New Roman"/>
          <w:sz w:val="32"/>
          <w:szCs w:val="32"/>
        </w:rPr>
        <w:t>（七）政策窗口期提示</w:t>
      </w:r>
      <w:r>
        <w:tab/>
      </w:r>
      <w:r>
        <w:rPr>
          <w:rFonts w:eastAsia="仿宋"/>
          <w:sz w:val="32"/>
          <w:szCs w:val="32"/>
        </w:rPr>
        <w:t>13</w:t>
      </w:r>
    </w:p>
    <w:p w14:paraId="5D7F2671">
      <w:pPr>
        <w:tabs>
          <w:tab w:val="right" w:leader="dot" w:pos="8845"/>
        </w:tabs>
        <w:spacing w:before="80" w:after="0" w:line="480" w:lineRule="exact"/>
      </w:pPr>
      <w:r>
        <w:rPr>
          <w:rFonts w:ascii="Times New Roman" w:hAnsi="Times New Roman" w:eastAsia="黑体"/>
          <w:sz w:val="32"/>
          <w:szCs w:val="32"/>
        </w:rPr>
        <w:t>十二、宣传纪律与咨询应答要点</w:t>
      </w:r>
      <w:r>
        <w:tab/>
      </w:r>
      <w:r>
        <w:rPr>
          <w:rFonts w:eastAsia="黑体"/>
          <w:sz w:val="32"/>
          <w:szCs w:val="32"/>
        </w:rPr>
        <w:t>13</w:t>
      </w:r>
    </w:p>
    <w:p w14:paraId="506AC8BD">
      <w:pPr>
        <w:tabs>
          <w:tab w:val="right" w:leader="dot" w:pos="8845"/>
        </w:tabs>
        <w:spacing w:before="0" w:after="0" w:line="480" w:lineRule="exact"/>
        <w:ind w:firstLine="640"/>
      </w:pPr>
      <w:r>
        <w:rPr>
          <w:rFonts w:ascii="Times New Roman" w:hAnsi="Times New Roman"/>
          <w:sz w:val="32"/>
          <w:szCs w:val="32"/>
        </w:rPr>
        <w:t>（一）宣传纪律红线</w:t>
      </w:r>
      <w:r>
        <w:tab/>
      </w:r>
      <w:r>
        <w:rPr>
          <w:rFonts w:eastAsia="仿宋"/>
          <w:sz w:val="32"/>
          <w:szCs w:val="32"/>
        </w:rPr>
        <w:t>13</w:t>
      </w:r>
    </w:p>
    <w:p w14:paraId="3BC6B801">
      <w:pPr>
        <w:tabs>
          <w:tab w:val="right" w:leader="dot" w:pos="8845"/>
        </w:tabs>
        <w:spacing w:before="0" w:after="0" w:line="480" w:lineRule="exact"/>
        <w:ind w:firstLine="640"/>
      </w:pPr>
      <w:r>
        <w:rPr>
          <w:rFonts w:ascii="Times New Roman" w:hAnsi="Times New Roman"/>
          <w:sz w:val="32"/>
          <w:szCs w:val="32"/>
        </w:rPr>
        <w:t>（二）统一咨询口径</w:t>
      </w:r>
      <w:r>
        <w:tab/>
      </w:r>
      <w:r>
        <w:rPr>
          <w:rFonts w:eastAsia="仿宋"/>
          <w:sz w:val="32"/>
          <w:szCs w:val="32"/>
        </w:rPr>
        <w:t>14</w:t>
      </w:r>
    </w:p>
    <w:p w14:paraId="5A58BFBC">
      <w:pPr>
        <w:tabs>
          <w:tab w:val="right" w:leader="dot" w:pos="8845"/>
        </w:tabs>
        <w:spacing w:before="0" w:after="0" w:line="480" w:lineRule="exact"/>
        <w:ind w:firstLine="640"/>
      </w:pPr>
      <w:r>
        <w:rPr>
          <w:rFonts w:ascii="Times New Roman" w:hAnsi="Times New Roman"/>
          <w:sz w:val="32"/>
          <w:szCs w:val="32"/>
        </w:rPr>
        <w:t>（三）咨询应答“三个必答”</w:t>
      </w:r>
      <w:r>
        <w:tab/>
      </w:r>
      <w:r>
        <w:rPr>
          <w:rFonts w:eastAsia="仿宋"/>
          <w:sz w:val="32"/>
          <w:szCs w:val="32"/>
        </w:rPr>
        <w:t>14</w:t>
      </w:r>
    </w:p>
    <w:p w14:paraId="1AE1EA21">
      <w:pPr>
        <w:tabs>
          <w:tab w:val="right" w:leader="dot" w:pos="8845"/>
        </w:tabs>
        <w:spacing w:before="0" w:after="0" w:line="480" w:lineRule="exact"/>
        <w:ind w:firstLine="640"/>
        <w:sectPr>
          <w:pgSz w:w="11906" w:h="16838"/>
          <w:pgMar w:top="2098" w:right="1474" w:bottom="1984" w:left="1587" w:header="0" w:footer="0" w:gutter="0"/>
          <w:pgNumType w:fmt="decimal"/>
          <w:cols w:space="720" w:num="1"/>
          <w:formProt w:val="0"/>
          <w:docGrid w:linePitch="360" w:charSpace="-16385"/>
        </w:sectPr>
      </w:pPr>
      <w:r>
        <w:rPr>
          <w:rFonts w:ascii="Times New Roman" w:hAnsi="Times New Roman"/>
          <w:sz w:val="32"/>
          <w:szCs w:val="32"/>
        </w:rPr>
        <w:t>（四）生源信息登记与跟进</w:t>
      </w:r>
      <w:r>
        <w:tab/>
      </w:r>
      <w:r>
        <w:rPr>
          <w:rFonts w:eastAsia="仿宋"/>
          <w:sz w:val="32"/>
          <w:szCs w:val="32"/>
        </w:rPr>
        <w:t>14</w:t>
      </w:r>
      <w:r>
        <w:br w:type="page"/>
      </w:r>
    </w:p>
    <w:p w14:paraId="68612FE6">
      <w:pPr>
        <w:pStyle w:val="2"/>
      </w:pPr>
      <w:r>
        <w:rPr>
          <w:rFonts w:ascii="Times New Roman" w:hAnsi="Times New Roman"/>
          <w:sz w:val="32"/>
          <w:szCs w:val="32"/>
        </w:rPr>
        <w:t>一、招生宣传工作总则</w:t>
      </w:r>
    </w:p>
    <w:p w14:paraId="2694AA8C">
      <w:pPr>
        <w:pStyle w:val="3"/>
      </w:pPr>
      <w:r>
        <w:rPr>
          <w:rFonts w:ascii="Times New Roman" w:hAnsi="Times New Roman"/>
          <w:sz w:val="32"/>
          <w:szCs w:val="32"/>
        </w:rPr>
        <w:t>（一）制定背景与政策依据</w:t>
      </w:r>
    </w:p>
    <w:p w14:paraId="36C49CA8">
      <w:pPr>
        <w:spacing w:before="0" w:after="0" w:line="560" w:lineRule="exact"/>
        <w:ind w:firstLine="640"/>
        <w:jc w:val="both"/>
      </w:pPr>
      <w:r>
        <w:rPr>
          <w:rFonts w:ascii="Times New Roman" w:hAnsi="Times New Roman"/>
          <w:b w:val="0"/>
          <w:bCs w:val="0"/>
          <w:sz w:val="32"/>
          <w:szCs w:val="32"/>
        </w:rPr>
        <w:t>为全面落实教育部、江西省教育厅关于高等职业教育分类考试招生工作的相关部署，依据《江西省职教高考实施方案》和《江西省</w:t>
      </w:r>
      <w:r>
        <w:rPr>
          <w:rFonts w:eastAsia="仿宋"/>
          <w:b w:val="0"/>
          <w:bCs w:val="0"/>
          <w:sz w:val="32"/>
          <w:szCs w:val="32"/>
        </w:rPr>
        <w:t>2027</w:t>
      </w:r>
      <w:r>
        <w:rPr>
          <w:rFonts w:ascii="Times New Roman" w:hAnsi="Times New Roman"/>
          <w:b w:val="0"/>
          <w:bCs w:val="0"/>
          <w:sz w:val="32"/>
          <w:szCs w:val="32"/>
        </w:rPr>
        <w:t>年高等职业教育单独招生考试工作通知》有关要求，结合学院</w:t>
      </w:r>
      <w:r>
        <w:rPr>
          <w:rFonts w:eastAsia="仿宋"/>
          <w:b w:val="0"/>
          <w:bCs w:val="0"/>
          <w:sz w:val="32"/>
          <w:szCs w:val="32"/>
        </w:rPr>
        <w:t>2027</w:t>
      </w:r>
      <w:r>
        <w:rPr>
          <w:rFonts w:ascii="Times New Roman" w:hAnsi="Times New Roman"/>
          <w:b w:val="0"/>
          <w:bCs w:val="0"/>
          <w:sz w:val="32"/>
          <w:szCs w:val="32"/>
        </w:rPr>
        <w:t>年高职单招工作实际，依托“中国药都”樟树中医药产业底蕴与樟帮非遗文化特色，精准传递学院办学优势、人才培养理念与单招核心政策，切实提升学院省内知名度、生源吸引力与品牌影响力，确保圆满完成</w:t>
      </w:r>
      <w:r>
        <w:rPr>
          <w:rFonts w:eastAsia="仿宋"/>
          <w:b w:val="0"/>
          <w:bCs w:val="0"/>
          <w:sz w:val="32"/>
          <w:szCs w:val="32"/>
        </w:rPr>
        <w:t>2027</w:t>
      </w:r>
      <w:r>
        <w:rPr>
          <w:rFonts w:ascii="Times New Roman" w:hAnsi="Times New Roman"/>
          <w:b w:val="0"/>
          <w:bCs w:val="0"/>
          <w:sz w:val="32"/>
          <w:szCs w:val="32"/>
        </w:rPr>
        <w:t>年单招招生计划，特制定本专项招生宣传培训方案。</w:t>
      </w:r>
    </w:p>
    <w:p w14:paraId="16258EF7">
      <w:pPr>
        <w:spacing w:before="0" w:after="0" w:line="560" w:lineRule="exact"/>
        <w:ind w:firstLine="640"/>
        <w:jc w:val="both"/>
      </w:pPr>
      <w:r>
        <w:rPr>
          <w:rFonts w:eastAsia="仿宋"/>
          <w:b w:val="0"/>
          <w:bCs w:val="0"/>
          <w:sz w:val="32"/>
          <w:szCs w:val="32"/>
        </w:rPr>
        <w:t>2027</w:t>
      </w:r>
      <w:r>
        <w:rPr>
          <w:rFonts w:ascii="Times New Roman" w:hAnsi="Times New Roman"/>
          <w:b w:val="0"/>
          <w:bCs w:val="0"/>
          <w:sz w:val="32"/>
          <w:szCs w:val="32"/>
        </w:rPr>
        <w:t>年是江西省高职单招改革过渡期的收官批次，职业技能考试首次实行省级统考，考试模式与录取规则较往年均有实质性调整，招生宣传队伍必须先行学深学透政策，才能为考生和家长提供准确、专业的报考指导。</w:t>
      </w:r>
    </w:p>
    <w:p w14:paraId="525776B0">
      <w:pPr>
        <w:pStyle w:val="3"/>
      </w:pPr>
      <w:r>
        <w:rPr>
          <w:rFonts w:ascii="Times New Roman" w:hAnsi="Times New Roman"/>
          <w:sz w:val="32"/>
          <w:szCs w:val="32"/>
        </w:rPr>
        <w:t>（二）宣传核心定位</w:t>
      </w:r>
    </w:p>
    <w:p w14:paraId="1DBBE40C">
      <w:pPr>
        <w:spacing w:before="0" w:after="0" w:line="560" w:lineRule="exact"/>
        <w:ind w:firstLine="640"/>
        <w:jc w:val="both"/>
      </w:pPr>
      <w:r>
        <w:rPr>
          <w:rFonts w:ascii="Times New Roman" w:hAnsi="Times New Roman"/>
          <w:b w:val="0"/>
          <w:bCs w:val="0"/>
          <w:sz w:val="32"/>
          <w:szCs w:val="32"/>
        </w:rPr>
        <w:t>以“中国药都</w:t>
      </w:r>
      <w:r>
        <w:rPr>
          <w:rFonts w:eastAsia="仿宋"/>
          <w:b w:val="0"/>
          <w:bCs w:val="0"/>
          <w:sz w:val="32"/>
          <w:szCs w:val="32"/>
        </w:rPr>
        <w:t>·</w:t>
      </w:r>
      <w:r>
        <w:rPr>
          <w:rFonts w:ascii="Times New Roman" w:hAnsi="Times New Roman"/>
          <w:b w:val="0"/>
          <w:bCs w:val="0"/>
          <w:sz w:val="32"/>
          <w:szCs w:val="32"/>
        </w:rPr>
        <w:t>樟帮传承”为独家核心</w:t>
      </w:r>
      <w:r>
        <w:rPr>
          <w:rFonts w:eastAsia="仿宋"/>
          <w:b w:val="0"/>
          <w:bCs w:val="0"/>
          <w:sz w:val="32"/>
          <w:szCs w:val="32"/>
        </w:rPr>
        <w:t>IP</w:t>
      </w:r>
      <w:r>
        <w:rPr>
          <w:rFonts w:ascii="Times New Roman" w:hAnsi="Times New Roman"/>
          <w:b w:val="0"/>
          <w:bCs w:val="0"/>
          <w:sz w:val="32"/>
          <w:szCs w:val="32"/>
        </w:rPr>
        <w:t>，立足江西省中医药大健康产业发展刚需，依托樟树千年中医药产业底蕴与</w:t>
      </w:r>
      <w:r>
        <w:rPr>
          <w:rFonts w:eastAsia="仿宋"/>
          <w:b w:val="0"/>
          <w:bCs w:val="0"/>
          <w:sz w:val="32"/>
          <w:szCs w:val="32"/>
        </w:rPr>
        <w:t>68</w:t>
      </w:r>
      <w:r>
        <w:rPr>
          <w:rFonts w:ascii="Times New Roman" w:hAnsi="Times New Roman"/>
          <w:b w:val="0"/>
          <w:bCs w:val="0"/>
          <w:sz w:val="32"/>
          <w:szCs w:val="32"/>
        </w:rPr>
        <w:t>家院企产教融合资源，聚焦中医药全产业链技能人才培养，打造江西省内差异化特色鲜明的中医药职业教育品牌。</w:t>
      </w:r>
    </w:p>
    <w:p w14:paraId="3881160D">
      <w:pPr>
        <w:pStyle w:val="3"/>
      </w:pPr>
      <w:r>
        <w:rPr>
          <w:rFonts w:ascii="Times New Roman" w:hAnsi="Times New Roman"/>
          <w:sz w:val="32"/>
          <w:szCs w:val="32"/>
        </w:rPr>
        <w:t>（三）宣传基本原则</w:t>
      </w:r>
    </w:p>
    <w:p w14:paraId="3CD8978C">
      <w:pPr>
        <w:spacing w:before="0" w:after="0" w:line="560" w:lineRule="exact"/>
        <w:ind w:firstLine="640"/>
        <w:jc w:val="both"/>
      </w:pPr>
      <w:r>
        <w:rPr>
          <w:rFonts w:hint="eastAsia"/>
          <w:b w:val="0"/>
          <w:bCs w:val="0"/>
          <w:sz w:val="32"/>
          <w:szCs w:val="32"/>
          <w:lang w:eastAsia="zh-CN"/>
        </w:rPr>
        <w:t>1.</w:t>
      </w:r>
      <w:r>
        <w:rPr>
          <w:rFonts w:ascii="Times New Roman" w:hAnsi="Times New Roman"/>
          <w:b w:val="0"/>
          <w:bCs w:val="0"/>
          <w:sz w:val="32"/>
          <w:szCs w:val="32"/>
        </w:rPr>
        <w:t>合规诚信原则：宣传内容真实、准确、规范，杜绝虚假宣传与违规承诺，统一全渠道宣传口径。</w:t>
      </w:r>
    </w:p>
    <w:p w14:paraId="2DF1C550">
      <w:pPr>
        <w:spacing w:before="0" w:after="0" w:line="560" w:lineRule="exact"/>
        <w:ind w:firstLine="640"/>
        <w:jc w:val="both"/>
      </w:pPr>
      <w:r>
        <w:rPr>
          <w:rFonts w:hint="eastAsia"/>
          <w:b w:val="0"/>
          <w:bCs w:val="0"/>
          <w:sz w:val="32"/>
          <w:szCs w:val="32"/>
          <w:lang w:eastAsia="zh-CN"/>
        </w:rPr>
        <w:t>2.</w:t>
      </w:r>
      <w:r>
        <w:rPr>
          <w:rFonts w:ascii="Times New Roman" w:hAnsi="Times New Roman"/>
          <w:b w:val="0"/>
          <w:bCs w:val="0"/>
          <w:sz w:val="32"/>
          <w:szCs w:val="32"/>
        </w:rPr>
        <w:t>精准下沉原则：摒弃广撒网式粗放宣传，聚焦核心生源院校与目标考生，以地市为单位网格化驻点，实现精准触达。</w:t>
      </w:r>
    </w:p>
    <w:p w14:paraId="14C91FD2">
      <w:pPr>
        <w:spacing w:before="0" w:after="0" w:line="560" w:lineRule="exact"/>
        <w:ind w:firstLine="640"/>
        <w:jc w:val="both"/>
      </w:pPr>
      <w:r>
        <w:rPr>
          <w:rFonts w:hint="eastAsia"/>
          <w:b w:val="0"/>
          <w:bCs w:val="0"/>
          <w:sz w:val="32"/>
          <w:szCs w:val="32"/>
          <w:lang w:eastAsia="zh-CN"/>
        </w:rPr>
        <w:t>3.</w:t>
      </w:r>
      <w:r>
        <w:rPr>
          <w:rFonts w:ascii="Times New Roman" w:hAnsi="Times New Roman"/>
          <w:b w:val="0"/>
          <w:bCs w:val="0"/>
          <w:sz w:val="32"/>
          <w:szCs w:val="32"/>
        </w:rPr>
        <w:t>轻量化传播原则：以小班化对接、一对一咨询、分主题线上专场为核心形式，避免大规模集中式活动。</w:t>
      </w:r>
    </w:p>
    <w:p w14:paraId="4D82A529">
      <w:pPr>
        <w:spacing w:before="0" w:after="0" w:line="560" w:lineRule="exact"/>
        <w:ind w:firstLine="640"/>
        <w:jc w:val="both"/>
      </w:pPr>
      <w:r>
        <w:rPr>
          <w:rFonts w:hint="eastAsia"/>
          <w:b w:val="0"/>
          <w:bCs w:val="0"/>
          <w:sz w:val="32"/>
          <w:szCs w:val="32"/>
          <w:lang w:eastAsia="zh-CN"/>
        </w:rPr>
        <w:t>4.</w:t>
      </w:r>
      <w:r>
        <w:rPr>
          <w:rFonts w:ascii="Times New Roman" w:hAnsi="Times New Roman"/>
          <w:b w:val="0"/>
          <w:bCs w:val="0"/>
          <w:sz w:val="32"/>
          <w:szCs w:val="32"/>
        </w:rPr>
        <w:t>全员协同原则：统筹学院各二级学院、职能部门、校企合作单位力量，形成“全院联动、分点负责、闭环管理”的宣传工作体系。</w:t>
      </w:r>
    </w:p>
    <w:p w14:paraId="1A3BD5FF">
      <w:pPr>
        <w:pStyle w:val="3"/>
      </w:pPr>
      <w:r>
        <w:rPr>
          <w:rFonts w:ascii="Times New Roman" w:hAnsi="Times New Roman"/>
          <w:sz w:val="32"/>
          <w:szCs w:val="32"/>
        </w:rPr>
        <w:t>（四）宣传总体目标与周期安排</w:t>
      </w:r>
    </w:p>
    <w:p w14:paraId="6E0279EE">
      <w:pPr>
        <w:spacing w:before="0" w:after="0" w:line="560" w:lineRule="exact"/>
        <w:ind w:firstLine="640"/>
        <w:jc w:val="both"/>
      </w:pPr>
      <w:r>
        <w:rPr>
          <w:rFonts w:ascii="Times New Roman" w:hAnsi="Times New Roman"/>
          <w:b w:val="0"/>
          <w:bCs w:val="0"/>
          <w:sz w:val="32"/>
          <w:szCs w:val="32"/>
        </w:rPr>
        <w:t>总体目标：确保完成省教育厅下达的</w:t>
      </w:r>
      <w:r>
        <w:rPr>
          <w:rFonts w:eastAsia="仿宋"/>
          <w:b w:val="0"/>
          <w:bCs w:val="0"/>
          <w:sz w:val="32"/>
          <w:szCs w:val="32"/>
        </w:rPr>
        <w:t>2027</w:t>
      </w:r>
      <w:r>
        <w:rPr>
          <w:rFonts w:ascii="Times New Roman" w:hAnsi="Times New Roman"/>
          <w:b w:val="0"/>
          <w:bCs w:val="0"/>
          <w:sz w:val="32"/>
          <w:szCs w:val="32"/>
        </w:rPr>
        <w:t>年单招招生计划，实现报考规模与录取质量同步提升。宣传周期为</w:t>
      </w:r>
      <w:r>
        <w:rPr>
          <w:rFonts w:eastAsia="仿宋"/>
          <w:b w:val="0"/>
          <w:bCs w:val="0"/>
          <w:sz w:val="32"/>
          <w:szCs w:val="32"/>
        </w:rPr>
        <w:t>2026</w:t>
      </w:r>
      <w:r>
        <w:rPr>
          <w:rFonts w:ascii="Times New Roman" w:hAnsi="Times New Roman"/>
          <w:b w:val="0"/>
          <w:bCs w:val="0"/>
          <w:sz w:val="32"/>
          <w:szCs w:val="32"/>
        </w:rPr>
        <w:t>年</w:t>
      </w:r>
      <w:r>
        <w:rPr>
          <w:rFonts w:eastAsia="仿宋"/>
          <w:b w:val="0"/>
          <w:bCs w:val="0"/>
          <w:sz w:val="32"/>
          <w:szCs w:val="32"/>
        </w:rPr>
        <w:t>11</w:t>
      </w:r>
      <w:r>
        <w:rPr>
          <w:rFonts w:ascii="Times New Roman" w:hAnsi="Times New Roman"/>
          <w:b w:val="0"/>
          <w:bCs w:val="0"/>
          <w:sz w:val="32"/>
          <w:szCs w:val="32"/>
        </w:rPr>
        <w:t>月至</w:t>
      </w:r>
      <w:r>
        <w:rPr>
          <w:rFonts w:eastAsia="仿宋"/>
          <w:b w:val="0"/>
          <w:bCs w:val="0"/>
          <w:sz w:val="32"/>
          <w:szCs w:val="32"/>
        </w:rPr>
        <w:t>2027</w:t>
      </w:r>
      <w:r>
        <w:rPr>
          <w:rFonts w:ascii="Times New Roman" w:hAnsi="Times New Roman"/>
          <w:b w:val="0"/>
          <w:bCs w:val="0"/>
          <w:sz w:val="32"/>
          <w:szCs w:val="32"/>
        </w:rPr>
        <w:t>年</w:t>
      </w:r>
      <w:r>
        <w:rPr>
          <w:rFonts w:eastAsia="仿宋"/>
          <w:b w:val="0"/>
          <w:bCs w:val="0"/>
          <w:sz w:val="32"/>
          <w:szCs w:val="32"/>
        </w:rPr>
        <w:t>4</w:t>
      </w:r>
      <w:r>
        <w:rPr>
          <w:rFonts w:ascii="Times New Roman" w:hAnsi="Times New Roman"/>
          <w:b w:val="0"/>
          <w:bCs w:val="0"/>
          <w:sz w:val="32"/>
          <w:szCs w:val="32"/>
        </w:rPr>
        <w:t>月，分四个阶段推进：</w:t>
      </w:r>
    </w:p>
    <w:p w14:paraId="12B26768">
      <w:pPr>
        <w:spacing w:before="0" w:after="0" w:line="560" w:lineRule="exact"/>
        <w:ind w:firstLine="640"/>
        <w:jc w:val="both"/>
      </w:pPr>
      <w:r>
        <w:rPr>
          <w:rFonts w:hint="eastAsia"/>
          <w:b w:val="0"/>
          <w:bCs w:val="0"/>
          <w:sz w:val="32"/>
          <w:szCs w:val="32"/>
          <w:lang w:eastAsia="zh-CN"/>
        </w:rPr>
        <w:t>1.</w:t>
      </w:r>
      <w:r>
        <w:rPr>
          <w:rFonts w:ascii="Times New Roman" w:hAnsi="Times New Roman"/>
          <w:b w:val="0"/>
          <w:bCs w:val="0"/>
          <w:sz w:val="32"/>
          <w:szCs w:val="32"/>
        </w:rPr>
        <w:t>政策研读与队伍培训阶段（</w:t>
      </w:r>
      <w:r>
        <w:rPr>
          <w:rFonts w:eastAsia="仿宋"/>
          <w:b w:val="0"/>
          <w:bCs w:val="0"/>
          <w:sz w:val="32"/>
          <w:szCs w:val="32"/>
        </w:rPr>
        <w:t>2026</w:t>
      </w:r>
      <w:r>
        <w:rPr>
          <w:rFonts w:ascii="Times New Roman" w:hAnsi="Times New Roman"/>
          <w:b w:val="0"/>
          <w:bCs w:val="0"/>
          <w:sz w:val="32"/>
          <w:szCs w:val="32"/>
        </w:rPr>
        <w:t>年</w:t>
      </w:r>
      <w:r>
        <w:rPr>
          <w:rFonts w:eastAsia="仿宋"/>
          <w:b w:val="0"/>
          <w:bCs w:val="0"/>
          <w:sz w:val="32"/>
          <w:szCs w:val="32"/>
        </w:rPr>
        <w:t>11</w:t>
      </w:r>
      <w:r>
        <w:rPr>
          <w:rFonts w:ascii="Times New Roman" w:hAnsi="Times New Roman"/>
          <w:b w:val="0"/>
          <w:bCs w:val="0"/>
          <w:sz w:val="32"/>
          <w:szCs w:val="32"/>
        </w:rPr>
        <w:t>月—</w:t>
      </w:r>
      <w:r>
        <w:rPr>
          <w:rFonts w:eastAsia="仿宋"/>
          <w:b w:val="0"/>
          <w:bCs w:val="0"/>
          <w:sz w:val="32"/>
          <w:szCs w:val="32"/>
        </w:rPr>
        <w:t>12</w:t>
      </w:r>
      <w:r>
        <w:rPr>
          <w:rFonts w:ascii="Times New Roman" w:hAnsi="Times New Roman"/>
          <w:b w:val="0"/>
          <w:bCs w:val="0"/>
          <w:sz w:val="32"/>
          <w:szCs w:val="32"/>
        </w:rPr>
        <w:t>月）：完成政策研读、队伍培训、宣传物料与宣讲课件准备；</w:t>
      </w:r>
    </w:p>
    <w:p w14:paraId="65A68AB6">
      <w:pPr>
        <w:spacing w:before="0" w:after="0" w:line="560" w:lineRule="exact"/>
        <w:ind w:firstLine="640"/>
        <w:jc w:val="both"/>
      </w:pPr>
      <w:r>
        <w:rPr>
          <w:rFonts w:hint="eastAsia"/>
          <w:b w:val="0"/>
          <w:bCs w:val="0"/>
          <w:sz w:val="32"/>
          <w:szCs w:val="32"/>
          <w:lang w:eastAsia="zh-CN"/>
        </w:rPr>
        <w:t>2.</w:t>
      </w:r>
      <w:r>
        <w:rPr>
          <w:rFonts w:ascii="Times New Roman" w:hAnsi="Times New Roman"/>
          <w:b w:val="0"/>
          <w:bCs w:val="0"/>
          <w:sz w:val="32"/>
          <w:szCs w:val="32"/>
        </w:rPr>
        <w:t>集中宣传与生源对接阶段（</w:t>
      </w:r>
      <w:r>
        <w:rPr>
          <w:rFonts w:eastAsia="仿宋"/>
          <w:b w:val="0"/>
          <w:bCs w:val="0"/>
          <w:sz w:val="32"/>
          <w:szCs w:val="32"/>
        </w:rPr>
        <w:t>2026</w:t>
      </w:r>
      <w:r>
        <w:rPr>
          <w:rFonts w:ascii="Times New Roman" w:hAnsi="Times New Roman"/>
          <w:b w:val="0"/>
          <w:bCs w:val="0"/>
          <w:sz w:val="32"/>
          <w:szCs w:val="32"/>
        </w:rPr>
        <w:t>年</w:t>
      </w:r>
      <w:r>
        <w:rPr>
          <w:rFonts w:eastAsia="仿宋"/>
          <w:b w:val="0"/>
          <w:bCs w:val="0"/>
          <w:sz w:val="32"/>
          <w:szCs w:val="32"/>
        </w:rPr>
        <w:t>12</w:t>
      </w:r>
      <w:r>
        <w:rPr>
          <w:rFonts w:ascii="Times New Roman" w:hAnsi="Times New Roman"/>
          <w:b w:val="0"/>
          <w:bCs w:val="0"/>
          <w:sz w:val="32"/>
          <w:szCs w:val="32"/>
        </w:rPr>
        <w:t>月—</w:t>
      </w:r>
      <w:r>
        <w:rPr>
          <w:rFonts w:eastAsia="仿宋"/>
          <w:b w:val="0"/>
          <w:bCs w:val="0"/>
          <w:sz w:val="32"/>
          <w:szCs w:val="32"/>
        </w:rPr>
        <w:t>2027</w:t>
      </w:r>
      <w:r>
        <w:rPr>
          <w:rFonts w:ascii="Times New Roman" w:hAnsi="Times New Roman"/>
          <w:b w:val="0"/>
          <w:bCs w:val="0"/>
          <w:sz w:val="32"/>
          <w:szCs w:val="32"/>
        </w:rPr>
        <w:t>年</w:t>
      </w:r>
      <w:r>
        <w:rPr>
          <w:rFonts w:eastAsia="仿宋"/>
          <w:b w:val="0"/>
          <w:bCs w:val="0"/>
          <w:sz w:val="32"/>
          <w:szCs w:val="32"/>
        </w:rPr>
        <w:t>2</w:t>
      </w:r>
      <w:r>
        <w:rPr>
          <w:rFonts w:ascii="Times New Roman" w:hAnsi="Times New Roman"/>
          <w:b w:val="0"/>
          <w:bCs w:val="0"/>
          <w:sz w:val="32"/>
          <w:szCs w:val="32"/>
        </w:rPr>
        <w:t>月）：抢抓高考报名结束至寒假期间的咨询高峰，深入生源院校开展精准对接；</w:t>
      </w:r>
    </w:p>
    <w:p w14:paraId="3C4F02F8">
      <w:pPr>
        <w:spacing w:before="0" w:after="0" w:line="560" w:lineRule="exact"/>
        <w:ind w:firstLine="640"/>
        <w:jc w:val="both"/>
      </w:pPr>
      <w:r>
        <w:rPr>
          <w:rFonts w:hint="eastAsia"/>
          <w:b w:val="0"/>
          <w:bCs w:val="0"/>
          <w:sz w:val="32"/>
          <w:szCs w:val="32"/>
          <w:lang w:eastAsia="zh-CN"/>
        </w:rPr>
        <w:t>3.</w:t>
      </w:r>
      <w:r>
        <w:rPr>
          <w:rFonts w:ascii="Times New Roman" w:hAnsi="Times New Roman"/>
          <w:b w:val="0"/>
          <w:bCs w:val="0"/>
          <w:sz w:val="32"/>
          <w:szCs w:val="32"/>
        </w:rPr>
        <w:t>考试服务与考前指导阶段（</w:t>
      </w:r>
      <w:r>
        <w:rPr>
          <w:rFonts w:eastAsia="仿宋"/>
          <w:b w:val="0"/>
          <w:bCs w:val="0"/>
          <w:sz w:val="32"/>
          <w:szCs w:val="32"/>
        </w:rPr>
        <w:t>2027</w:t>
      </w:r>
      <w:r>
        <w:rPr>
          <w:rFonts w:ascii="Times New Roman" w:hAnsi="Times New Roman"/>
          <w:b w:val="0"/>
          <w:bCs w:val="0"/>
          <w:sz w:val="32"/>
          <w:szCs w:val="32"/>
        </w:rPr>
        <w:t>年</w:t>
      </w:r>
      <w:r>
        <w:rPr>
          <w:rFonts w:eastAsia="仿宋"/>
          <w:b w:val="0"/>
          <w:bCs w:val="0"/>
          <w:sz w:val="32"/>
          <w:szCs w:val="32"/>
        </w:rPr>
        <w:t>3</w:t>
      </w:r>
      <w:r>
        <w:rPr>
          <w:rFonts w:ascii="Times New Roman" w:hAnsi="Times New Roman"/>
          <w:b w:val="0"/>
          <w:bCs w:val="0"/>
          <w:sz w:val="32"/>
          <w:szCs w:val="32"/>
        </w:rPr>
        <w:t>月）：做好文化素质考试、职业技能考试的考生服务与考前提醒；</w:t>
      </w:r>
    </w:p>
    <w:p w14:paraId="6B3008B7">
      <w:pPr>
        <w:spacing w:before="0" w:after="0" w:line="560" w:lineRule="exact"/>
        <w:ind w:firstLine="640"/>
        <w:jc w:val="both"/>
      </w:pPr>
      <w:r>
        <w:rPr>
          <w:rFonts w:hint="eastAsia"/>
          <w:b w:val="0"/>
          <w:bCs w:val="0"/>
          <w:sz w:val="32"/>
          <w:szCs w:val="32"/>
          <w:lang w:eastAsia="zh-CN"/>
        </w:rPr>
        <w:t>4.</w:t>
      </w:r>
      <w:r>
        <w:rPr>
          <w:rFonts w:ascii="Times New Roman" w:hAnsi="Times New Roman"/>
          <w:b w:val="0"/>
          <w:bCs w:val="0"/>
          <w:sz w:val="32"/>
          <w:szCs w:val="32"/>
        </w:rPr>
        <w:t>志愿填报与录取跟进阶段（</w:t>
      </w:r>
      <w:r>
        <w:rPr>
          <w:rFonts w:eastAsia="仿宋"/>
          <w:b w:val="0"/>
          <w:bCs w:val="0"/>
          <w:sz w:val="32"/>
          <w:szCs w:val="32"/>
        </w:rPr>
        <w:t>2027</w:t>
      </w:r>
      <w:r>
        <w:rPr>
          <w:rFonts w:ascii="Times New Roman" w:hAnsi="Times New Roman"/>
          <w:b w:val="0"/>
          <w:bCs w:val="0"/>
          <w:sz w:val="32"/>
          <w:szCs w:val="32"/>
        </w:rPr>
        <w:t>年</w:t>
      </w:r>
      <w:r>
        <w:rPr>
          <w:rFonts w:eastAsia="仿宋"/>
          <w:b w:val="0"/>
          <w:bCs w:val="0"/>
          <w:sz w:val="32"/>
          <w:szCs w:val="32"/>
        </w:rPr>
        <w:t>4</w:t>
      </w:r>
      <w:r>
        <w:rPr>
          <w:rFonts w:ascii="Times New Roman" w:hAnsi="Times New Roman"/>
          <w:b w:val="0"/>
          <w:bCs w:val="0"/>
          <w:sz w:val="32"/>
          <w:szCs w:val="32"/>
        </w:rPr>
        <w:t>月）：围绕单招录取新变化，做好志愿填报指导与录取跟进。</w:t>
      </w:r>
      <w:r>
        <w:br w:type="page"/>
      </w:r>
    </w:p>
    <w:p w14:paraId="20CD9E54">
      <w:pPr>
        <w:pStyle w:val="2"/>
      </w:pPr>
      <w:r>
        <w:rPr>
          <w:rFonts w:ascii="Times New Roman" w:hAnsi="Times New Roman"/>
          <w:sz w:val="32"/>
          <w:szCs w:val="32"/>
        </w:rPr>
        <w:t>二、</w:t>
      </w:r>
      <w:r>
        <w:rPr>
          <w:rFonts w:eastAsia="黑体"/>
          <w:sz w:val="32"/>
          <w:szCs w:val="32"/>
        </w:rPr>
        <w:t>2027</w:t>
      </w:r>
      <w:r>
        <w:rPr>
          <w:rFonts w:ascii="Times New Roman" w:hAnsi="Times New Roman"/>
          <w:sz w:val="32"/>
          <w:szCs w:val="32"/>
        </w:rPr>
        <w:t>年高职单招招生宣传培训日程表</w:t>
      </w:r>
    </w:p>
    <w:p w14:paraId="21D9F84E">
      <w:pPr>
        <w:spacing w:before="0" w:after="120" w:line="560" w:lineRule="exact"/>
        <w:ind w:firstLine="640"/>
        <w:jc w:val="both"/>
      </w:pPr>
      <w:r>
        <w:rPr>
          <w:rFonts w:ascii="Times New Roman" w:hAnsi="Times New Roman"/>
          <w:b w:val="0"/>
          <w:bCs w:val="0"/>
          <w:sz w:val="32"/>
          <w:szCs w:val="32"/>
        </w:rPr>
        <w:t>本次培训采取集中授课、案例研讨与模拟宣讲相结合的方式，为期两天，日程安排如下：</w:t>
      </w:r>
    </w:p>
    <w:tbl>
      <w:tblPr>
        <w:tblStyle w:val="25"/>
        <w:tblW w:w="8845" w:type="dxa"/>
        <w:tblInd w:w="0" w:type="dxa"/>
        <w:tblLayout w:type="fixed"/>
        <w:tblCellMar>
          <w:top w:w="60" w:type="dxa"/>
          <w:left w:w="100" w:type="dxa"/>
          <w:bottom w:w="60" w:type="dxa"/>
          <w:right w:w="100" w:type="dxa"/>
        </w:tblCellMar>
      </w:tblPr>
      <w:tblGrid>
        <w:gridCol w:w="1000"/>
        <w:gridCol w:w="2200"/>
        <w:gridCol w:w="3645"/>
        <w:gridCol w:w="1999"/>
      </w:tblGrid>
      <w:tr w14:paraId="79D4F1C7">
        <w:trPr>
          <w:tblHeader/>
        </w:trPr>
        <w:tc>
          <w:tcPr>
            <w:tcW w:w="1000"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68779413">
            <w:pPr>
              <w:widowControl w:val="0"/>
              <w:spacing w:line="300" w:lineRule="exact"/>
              <w:jc w:val="center"/>
            </w:pPr>
            <w:r>
              <w:rPr>
                <w:rFonts w:ascii="Times New Roman" w:hAnsi="Times New Roman"/>
                <w:b/>
                <w:bCs/>
                <w:sz w:val="21"/>
                <w:szCs w:val="21"/>
              </w:rPr>
              <w:t>日程</w:t>
            </w:r>
          </w:p>
        </w:tc>
        <w:tc>
          <w:tcPr>
            <w:tcW w:w="2200"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25708D3A">
            <w:pPr>
              <w:widowControl w:val="0"/>
              <w:spacing w:line="300" w:lineRule="exact"/>
              <w:jc w:val="center"/>
            </w:pPr>
            <w:r>
              <w:rPr>
                <w:rFonts w:ascii="Times New Roman" w:hAnsi="Times New Roman"/>
                <w:b/>
                <w:bCs/>
                <w:sz w:val="21"/>
                <w:szCs w:val="21"/>
              </w:rPr>
              <w:t>时间</w:t>
            </w:r>
          </w:p>
        </w:tc>
        <w:tc>
          <w:tcPr>
            <w:tcW w:w="3645"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1EE48F7E">
            <w:pPr>
              <w:widowControl w:val="0"/>
              <w:spacing w:line="300" w:lineRule="exact"/>
              <w:jc w:val="center"/>
            </w:pPr>
            <w:r>
              <w:rPr>
                <w:rFonts w:ascii="Times New Roman" w:hAnsi="Times New Roman"/>
                <w:b/>
                <w:bCs/>
                <w:sz w:val="21"/>
                <w:szCs w:val="21"/>
              </w:rPr>
              <w:t>培训主题</w:t>
            </w:r>
          </w:p>
        </w:tc>
        <w:tc>
          <w:tcPr>
            <w:tcW w:w="1999"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07E44F8E">
            <w:pPr>
              <w:widowControl w:val="0"/>
              <w:spacing w:line="300" w:lineRule="exact"/>
              <w:jc w:val="center"/>
            </w:pPr>
            <w:r>
              <w:rPr>
                <w:rFonts w:ascii="Times New Roman" w:hAnsi="Times New Roman"/>
                <w:b/>
                <w:bCs/>
                <w:sz w:val="21"/>
                <w:szCs w:val="21"/>
              </w:rPr>
              <w:t>主讲（承接）部门</w:t>
            </w:r>
          </w:p>
        </w:tc>
      </w:tr>
      <w:tr w14:paraId="7736B954">
        <w:tc>
          <w:tcPr>
            <w:tcW w:w="1000" w:type="dxa"/>
            <w:tcBorders>
              <w:top w:val="single" w:color="000000" w:sz="4" w:space="0"/>
              <w:left w:val="single" w:color="000000" w:sz="4" w:space="0"/>
              <w:bottom w:val="single" w:color="000000" w:sz="4" w:space="0"/>
              <w:right w:val="single" w:color="000000" w:sz="4" w:space="0"/>
            </w:tcBorders>
            <w:vAlign w:val="center"/>
          </w:tcPr>
          <w:p w14:paraId="738D6DEB">
            <w:pPr>
              <w:widowControl w:val="0"/>
              <w:spacing w:line="300" w:lineRule="exact"/>
              <w:jc w:val="center"/>
            </w:pPr>
            <w:r>
              <w:rPr>
                <w:rFonts w:ascii="Times New Roman" w:hAnsi="Times New Roman"/>
                <w:b w:val="0"/>
                <w:bCs w:val="0"/>
                <w:sz w:val="21"/>
                <w:szCs w:val="21"/>
              </w:rPr>
              <w:t>第一天</w:t>
            </w:r>
          </w:p>
        </w:tc>
        <w:tc>
          <w:tcPr>
            <w:tcW w:w="2200" w:type="dxa"/>
            <w:tcBorders>
              <w:top w:val="single" w:color="000000" w:sz="4" w:space="0"/>
              <w:left w:val="single" w:color="000000" w:sz="4" w:space="0"/>
              <w:bottom w:val="single" w:color="000000" w:sz="4" w:space="0"/>
              <w:right w:val="single" w:color="000000" w:sz="4" w:space="0"/>
            </w:tcBorders>
            <w:vAlign w:val="center"/>
          </w:tcPr>
          <w:p w14:paraId="0F476181">
            <w:pPr>
              <w:widowControl w:val="0"/>
              <w:spacing w:line="300" w:lineRule="exact"/>
              <w:jc w:val="center"/>
            </w:pPr>
            <w:r>
              <w:rPr>
                <w:rFonts w:ascii="Times New Roman" w:hAnsi="Times New Roman"/>
                <w:b w:val="0"/>
                <w:bCs w:val="0"/>
                <w:sz w:val="21"/>
                <w:szCs w:val="21"/>
              </w:rPr>
              <w:t xml:space="preserve">上午 </w:t>
            </w:r>
            <w:r>
              <w:rPr>
                <w:rFonts w:eastAsia="仿宋"/>
                <w:b w:val="0"/>
                <w:bCs w:val="0"/>
                <w:sz w:val="21"/>
                <w:szCs w:val="21"/>
              </w:rPr>
              <w:t>9:00—10:20</w:t>
            </w:r>
          </w:p>
        </w:tc>
        <w:tc>
          <w:tcPr>
            <w:tcW w:w="3645" w:type="dxa"/>
            <w:tcBorders>
              <w:top w:val="single" w:color="000000" w:sz="4" w:space="0"/>
              <w:left w:val="single" w:color="000000" w:sz="4" w:space="0"/>
              <w:bottom w:val="single" w:color="000000" w:sz="4" w:space="0"/>
              <w:right w:val="single" w:color="000000" w:sz="4" w:space="0"/>
            </w:tcBorders>
            <w:vAlign w:val="center"/>
          </w:tcPr>
          <w:p w14:paraId="7DBF9906">
            <w:pPr>
              <w:widowControl w:val="0"/>
              <w:spacing w:line="300" w:lineRule="exact"/>
              <w:jc w:val="left"/>
            </w:pPr>
            <w:r>
              <w:rPr>
                <w:rFonts w:ascii="Times New Roman" w:hAnsi="Times New Roman"/>
                <w:b w:val="0"/>
                <w:bCs w:val="0"/>
                <w:sz w:val="21"/>
                <w:szCs w:val="21"/>
              </w:rPr>
              <w:t>开班动员与</w:t>
            </w:r>
            <w:r>
              <w:rPr>
                <w:rFonts w:eastAsia="仿宋"/>
                <w:b w:val="0"/>
                <w:bCs w:val="0"/>
                <w:sz w:val="21"/>
                <w:szCs w:val="21"/>
              </w:rPr>
              <w:t>2027</w:t>
            </w:r>
            <w:r>
              <w:rPr>
                <w:rFonts w:ascii="Times New Roman" w:hAnsi="Times New Roman"/>
                <w:b w:val="0"/>
                <w:bCs w:val="0"/>
                <w:sz w:val="21"/>
                <w:szCs w:val="21"/>
              </w:rPr>
              <w:t>年单招宣传总体部署</w:t>
            </w:r>
          </w:p>
        </w:tc>
        <w:tc>
          <w:tcPr>
            <w:tcW w:w="1999" w:type="dxa"/>
            <w:tcBorders>
              <w:top w:val="single" w:color="000000" w:sz="4" w:space="0"/>
              <w:left w:val="single" w:color="000000" w:sz="4" w:space="0"/>
              <w:bottom w:val="single" w:color="000000" w:sz="4" w:space="0"/>
              <w:right w:val="single" w:color="000000" w:sz="4" w:space="0"/>
            </w:tcBorders>
            <w:vAlign w:val="center"/>
          </w:tcPr>
          <w:p w14:paraId="37597134">
            <w:pPr>
              <w:widowControl w:val="0"/>
              <w:spacing w:line="300" w:lineRule="exact"/>
              <w:jc w:val="center"/>
            </w:pPr>
            <w:r>
              <w:rPr>
                <w:rFonts w:ascii="Times New Roman" w:hAnsi="Times New Roman"/>
                <w:b w:val="0"/>
                <w:bCs w:val="0"/>
                <w:sz w:val="21"/>
                <w:szCs w:val="21"/>
              </w:rPr>
              <w:t>招生处</w:t>
            </w:r>
          </w:p>
        </w:tc>
      </w:tr>
      <w:tr w14:paraId="2F827782">
        <w:tc>
          <w:tcPr>
            <w:tcW w:w="1000" w:type="dxa"/>
            <w:tcBorders>
              <w:top w:val="single" w:color="000000" w:sz="4" w:space="0"/>
              <w:left w:val="single" w:color="000000" w:sz="4" w:space="0"/>
              <w:bottom w:val="single" w:color="000000" w:sz="4" w:space="0"/>
              <w:right w:val="single" w:color="000000" w:sz="4" w:space="0"/>
            </w:tcBorders>
            <w:vAlign w:val="center"/>
          </w:tcPr>
          <w:p w14:paraId="46B11FC3">
            <w:pPr>
              <w:widowControl w:val="0"/>
              <w:spacing w:line="300" w:lineRule="exact"/>
              <w:jc w:val="center"/>
            </w:pPr>
            <w:r>
              <w:rPr>
                <w:rFonts w:ascii="Times New Roman" w:hAnsi="Times New Roman"/>
                <w:b w:val="0"/>
                <w:bCs w:val="0"/>
                <w:sz w:val="21"/>
                <w:szCs w:val="21"/>
              </w:rPr>
              <w:t>第一天</w:t>
            </w:r>
          </w:p>
        </w:tc>
        <w:tc>
          <w:tcPr>
            <w:tcW w:w="2200" w:type="dxa"/>
            <w:tcBorders>
              <w:top w:val="single" w:color="000000" w:sz="4" w:space="0"/>
              <w:left w:val="single" w:color="000000" w:sz="4" w:space="0"/>
              <w:bottom w:val="single" w:color="000000" w:sz="4" w:space="0"/>
              <w:right w:val="single" w:color="000000" w:sz="4" w:space="0"/>
            </w:tcBorders>
            <w:vAlign w:val="center"/>
          </w:tcPr>
          <w:p w14:paraId="0B8350F7">
            <w:pPr>
              <w:widowControl w:val="0"/>
              <w:spacing w:line="300" w:lineRule="exact"/>
              <w:jc w:val="center"/>
            </w:pPr>
            <w:r>
              <w:rPr>
                <w:rFonts w:ascii="Times New Roman" w:hAnsi="Times New Roman"/>
                <w:b w:val="0"/>
                <w:bCs w:val="0"/>
                <w:sz w:val="21"/>
                <w:szCs w:val="21"/>
              </w:rPr>
              <w:t xml:space="preserve">上午 </w:t>
            </w:r>
            <w:r>
              <w:rPr>
                <w:rFonts w:eastAsia="仿宋"/>
                <w:b w:val="0"/>
                <w:bCs w:val="0"/>
                <w:sz w:val="21"/>
                <w:szCs w:val="21"/>
              </w:rPr>
              <w:t>10:30—12:00</w:t>
            </w:r>
          </w:p>
        </w:tc>
        <w:tc>
          <w:tcPr>
            <w:tcW w:w="3645" w:type="dxa"/>
            <w:tcBorders>
              <w:top w:val="single" w:color="000000" w:sz="4" w:space="0"/>
              <w:left w:val="single" w:color="000000" w:sz="4" w:space="0"/>
              <w:bottom w:val="single" w:color="000000" w:sz="4" w:space="0"/>
              <w:right w:val="single" w:color="000000" w:sz="4" w:space="0"/>
            </w:tcBorders>
            <w:vAlign w:val="center"/>
          </w:tcPr>
          <w:p w14:paraId="018C63D2">
            <w:pPr>
              <w:widowControl w:val="0"/>
              <w:spacing w:line="300" w:lineRule="exact"/>
              <w:jc w:val="left"/>
            </w:pPr>
            <w:r>
              <w:rPr>
                <w:rFonts w:eastAsia="仿宋"/>
                <w:b w:val="0"/>
                <w:bCs w:val="0"/>
                <w:sz w:val="21"/>
                <w:szCs w:val="21"/>
              </w:rPr>
              <w:t>2027</w:t>
            </w:r>
            <w:r>
              <w:rPr>
                <w:rFonts w:ascii="Times New Roman" w:hAnsi="Times New Roman"/>
                <w:b w:val="0"/>
                <w:bCs w:val="0"/>
                <w:sz w:val="21"/>
                <w:szCs w:val="21"/>
              </w:rPr>
              <w:t>年江西省高职单招政策核心要点及报考流程解析</w:t>
            </w:r>
          </w:p>
        </w:tc>
        <w:tc>
          <w:tcPr>
            <w:tcW w:w="1999" w:type="dxa"/>
            <w:tcBorders>
              <w:top w:val="single" w:color="000000" w:sz="4" w:space="0"/>
              <w:left w:val="single" w:color="000000" w:sz="4" w:space="0"/>
              <w:bottom w:val="single" w:color="000000" w:sz="4" w:space="0"/>
              <w:right w:val="single" w:color="000000" w:sz="4" w:space="0"/>
            </w:tcBorders>
            <w:vAlign w:val="center"/>
          </w:tcPr>
          <w:p w14:paraId="64B3583C">
            <w:pPr>
              <w:widowControl w:val="0"/>
              <w:spacing w:line="300" w:lineRule="exact"/>
              <w:jc w:val="center"/>
            </w:pPr>
            <w:r>
              <w:rPr>
                <w:rFonts w:ascii="Times New Roman" w:hAnsi="Times New Roman"/>
                <w:b w:val="0"/>
                <w:bCs w:val="0"/>
                <w:sz w:val="21"/>
                <w:szCs w:val="21"/>
              </w:rPr>
              <w:t>招生处</w:t>
            </w:r>
          </w:p>
        </w:tc>
      </w:tr>
      <w:tr w14:paraId="547CFC08">
        <w:tc>
          <w:tcPr>
            <w:tcW w:w="1000" w:type="dxa"/>
            <w:tcBorders>
              <w:top w:val="single" w:color="000000" w:sz="4" w:space="0"/>
              <w:left w:val="single" w:color="000000" w:sz="4" w:space="0"/>
              <w:bottom w:val="single" w:color="000000" w:sz="4" w:space="0"/>
              <w:right w:val="single" w:color="000000" w:sz="4" w:space="0"/>
            </w:tcBorders>
            <w:vAlign w:val="center"/>
          </w:tcPr>
          <w:p w14:paraId="6A67A47D">
            <w:pPr>
              <w:widowControl w:val="0"/>
              <w:spacing w:line="300" w:lineRule="exact"/>
              <w:jc w:val="center"/>
            </w:pPr>
            <w:r>
              <w:rPr>
                <w:rFonts w:ascii="Times New Roman" w:hAnsi="Times New Roman"/>
                <w:b w:val="0"/>
                <w:bCs w:val="0"/>
                <w:sz w:val="21"/>
                <w:szCs w:val="21"/>
              </w:rPr>
              <w:t>第一天</w:t>
            </w:r>
          </w:p>
        </w:tc>
        <w:tc>
          <w:tcPr>
            <w:tcW w:w="2200" w:type="dxa"/>
            <w:tcBorders>
              <w:top w:val="single" w:color="000000" w:sz="4" w:space="0"/>
              <w:left w:val="single" w:color="000000" w:sz="4" w:space="0"/>
              <w:bottom w:val="single" w:color="000000" w:sz="4" w:space="0"/>
              <w:right w:val="single" w:color="000000" w:sz="4" w:space="0"/>
            </w:tcBorders>
            <w:vAlign w:val="center"/>
          </w:tcPr>
          <w:p w14:paraId="759C2D45">
            <w:pPr>
              <w:widowControl w:val="0"/>
              <w:spacing w:line="300" w:lineRule="exact"/>
              <w:jc w:val="center"/>
            </w:pPr>
            <w:r>
              <w:rPr>
                <w:rFonts w:ascii="Times New Roman" w:hAnsi="Times New Roman"/>
                <w:b w:val="0"/>
                <w:bCs w:val="0"/>
                <w:sz w:val="21"/>
                <w:szCs w:val="21"/>
              </w:rPr>
              <w:t xml:space="preserve">下午 </w:t>
            </w:r>
            <w:r>
              <w:rPr>
                <w:rFonts w:eastAsia="仿宋"/>
                <w:b w:val="0"/>
                <w:bCs w:val="0"/>
                <w:sz w:val="21"/>
                <w:szCs w:val="21"/>
              </w:rPr>
              <w:t>14:30—16:00</w:t>
            </w:r>
          </w:p>
        </w:tc>
        <w:tc>
          <w:tcPr>
            <w:tcW w:w="3645" w:type="dxa"/>
            <w:tcBorders>
              <w:top w:val="single" w:color="000000" w:sz="4" w:space="0"/>
              <w:left w:val="single" w:color="000000" w:sz="4" w:space="0"/>
              <w:bottom w:val="single" w:color="000000" w:sz="4" w:space="0"/>
              <w:right w:val="single" w:color="000000" w:sz="4" w:space="0"/>
            </w:tcBorders>
            <w:vAlign w:val="center"/>
          </w:tcPr>
          <w:p w14:paraId="2198E230">
            <w:pPr>
              <w:widowControl w:val="0"/>
              <w:spacing w:line="300" w:lineRule="exact"/>
              <w:jc w:val="left"/>
            </w:pPr>
            <w:r>
              <w:rPr>
                <w:rFonts w:ascii="Times New Roman" w:hAnsi="Times New Roman"/>
                <w:b w:val="0"/>
                <w:bCs w:val="0"/>
                <w:sz w:val="21"/>
                <w:szCs w:val="21"/>
              </w:rPr>
              <w:t>学院核心概况与办学特色专题宣讲</w:t>
            </w:r>
          </w:p>
        </w:tc>
        <w:tc>
          <w:tcPr>
            <w:tcW w:w="1999" w:type="dxa"/>
            <w:tcBorders>
              <w:top w:val="single" w:color="000000" w:sz="4" w:space="0"/>
              <w:left w:val="single" w:color="000000" w:sz="4" w:space="0"/>
              <w:bottom w:val="single" w:color="000000" w:sz="4" w:space="0"/>
              <w:right w:val="single" w:color="000000" w:sz="4" w:space="0"/>
            </w:tcBorders>
            <w:vAlign w:val="center"/>
          </w:tcPr>
          <w:p w14:paraId="4B2C467F">
            <w:pPr>
              <w:widowControl w:val="0"/>
              <w:spacing w:line="300" w:lineRule="exact"/>
              <w:jc w:val="center"/>
            </w:pPr>
            <w:r>
              <w:rPr>
                <w:rFonts w:ascii="Times New Roman" w:hAnsi="Times New Roman"/>
                <w:b w:val="0"/>
                <w:bCs w:val="0"/>
                <w:sz w:val="21"/>
                <w:szCs w:val="21"/>
              </w:rPr>
              <w:t>学院办公室、宣传部</w:t>
            </w:r>
          </w:p>
        </w:tc>
      </w:tr>
      <w:tr w14:paraId="6E3C977B">
        <w:tc>
          <w:tcPr>
            <w:tcW w:w="1000" w:type="dxa"/>
            <w:tcBorders>
              <w:top w:val="single" w:color="000000" w:sz="4" w:space="0"/>
              <w:left w:val="single" w:color="000000" w:sz="4" w:space="0"/>
              <w:bottom w:val="single" w:color="000000" w:sz="4" w:space="0"/>
              <w:right w:val="single" w:color="000000" w:sz="4" w:space="0"/>
            </w:tcBorders>
            <w:vAlign w:val="center"/>
          </w:tcPr>
          <w:p w14:paraId="31336898">
            <w:pPr>
              <w:widowControl w:val="0"/>
              <w:spacing w:line="300" w:lineRule="exact"/>
              <w:jc w:val="center"/>
            </w:pPr>
            <w:r>
              <w:rPr>
                <w:rFonts w:ascii="Times New Roman" w:hAnsi="Times New Roman"/>
                <w:b w:val="0"/>
                <w:bCs w:val="0"/>
                <w:sz w:val="21"/>
                <w:szCs w:val="21"/>
              </w:rPr>
              <w:t>第一天</w:t>
            </w:r>
          </w:p>
        </w:tc>
        <w:tc>
          <w:tcPr>
            <w:tcW w:w="2200" w:type="dxa"/>
            <w:tcBorders>
              <w:top w:val="single" w:color="000000" w:sz="4" w:space="0"/>
              <w:left w:val="single" w:color="000000" w:sz="4" w:space="0"/>
              <w:bottom w:val="single" w:color="000000" w:sz="4" w:space="0"/>
              <w:right w:val="single" w:color="000000" w:sz="4" w:space="0"/>
            </w:tcBorders>
            <w:vAlign w:val="center"/>
          </w:tcPr>
          <w:p w14:paraId="5351C89B">
            <w:pPr>
              <w:widowControl w:val="0"/>
              <w:spacing w:line="300" w:lineRule="exact"/>
              <w:jc w:val="center"/>
            </w:pPr>
            <w:r>
              <w:rPr>
                <w:rFonts w:ascii="Times New Roman" w:hAnsi="Times New Roman"/>
                <w:b w:val="0"/>
                <w:bCs w:val="0"/>
                <w:sz w:val="21"/>
                <w:szCs w:val="21"/>
              </w:rPr>
              <w:t xml:space="preserve">下午 </w:t>
            </w:r>
            <w:r>
              <w:rPr>
                <w:rFonts w:eastAsia="仿宋"/>
                <w:b w:val="0"/>
                <w:bCs w:val="0"/>
                <w:sz w:val="21"/>
                <w:szCs w:val="21"/>
              </w:rPr>
              <w:t>16:10—17:40</w:t>
            </w:r>
          </w:p>
        </w:tc>
        <w:tc>
          <w:tcPr>
            <w:tcW w:w="3645" w:type="dxa"/>
            <w:tcBorders>
              <w:top w:val="single" w:color="000000" w:sz="4" w:space="0"/>
              <w:left w:val="single" w:color="000000" w:sz="4" w:space="0"/>
              <w:bottom w:val="single" w:color="000000" w:sz="4" w:space="0"/>
              <w:right w:val="single" w:color="000000" w:sz="4" w:space="0"/>
            </w:tcBorders>
            <w:vAlign w:val="center"/>
          </w:tcPr>
          <w:p w14:paraId="5F842572">
            <w:pPr>
              <w:widowControl w:val="0"/>
              <w:spacing w:line="300" w:lineRule="exact"/>
              <w:jc w:val="left"/>
            </w:pPr>
            <w:r>
              <w:rPr>
                <w:rFonts w:eastAsia="仿宋"/>
                <w:b w:val="0"/>
                <w:bCs w:val="0"/>
                <w:sz w:val="21"/>
                <w:szCs w:val="21"/>
              </w:rPr>
              <w:t>2027</w:t>
            </w:r>
            <w:r>
              <w:rPr>
                <w:rFonts w:ascii="Times New Roman" w:hAnsi="Times New Roman"/>
                <w:b w:val="0"/>
                <w:bCs w:val="0"/>
                <w:sz w:val="21"/>
                <w:szCs w:val="21"/>
              </w:rPr>
              <w:t>年单招招生专业培养体系说明</w:t>
            </w:r>
          </w:p>
        </w:tc>
        <w:tc>
          <w:tcPr>
            <w:tcW w:w="1999" w:type="dxa"/>
            <w:tcBorders>
              <w:top w:val="single" w:color="000000" w:sz="4" w:space="0"/>
              <w:left w:val="single" w:color="000000" w:sz="4" w:space="0"/>
              <w:bottom w:val="single" w:color="000000" w:sz="4" w:space="0"/>
              <w:right w:val="single" w:color="000000" w:sz="4" w:space="0"/>
            </w:tcBorders>
            <w:vAlign w:val="center"/>
          </w:tcPr>
          <w:p w14:paraId="17435312">
            <w:pPr>
              <w:widowControl w:val="0"/>
              <w:spacing w:line="300" w:lineRule="exact"/>
              <w:jc w:val="center"/>
            </w:pPr>
            <w:r>
              <w:rPr>
                <w:rFonts w:ascii="Times New Roman" w:hAnsi="Times New Roman"/>
                <w:b w:val="0"/>
                <w:bCs w:val="0"/>
                <w:sz w:val="21"/>
                <w:szCs w:val="21"/>
              </w:rPr>
              <w:t>各二级学院、招生处</w:t>
            </w:r>
          </w:p>
        </w:tc>
      </w:tr>
      <w:tr w14:paraId="3179878E">
        <w:tc>
          <w:tcPr>
            <w:tcW w:w="1000" w:type="dxa"/>
            <w:tcBorders>
              <w:top w:val="single" w:color="000000" w:sz="4" w:space="0"/>
              <w:left w:val="single" w:color="000000" w:sz="4" w:space="0"/>
              <w:bottom w:val="single" w:color="000000" w:sz="4" w:space="0"/>
              <w:right w:val="single" w:color="000000" w:sz="4" w:space="0"/>
            </w:tcBorders>
            <w:vAlign w:val="center"/>
          </w:tcPr>
          <w:p w14:paraId="544609D7">
            <w:pPr>
              <w:widowControl w:val="0"/>
              <w:spacing w:line="300" w:lineRule="exact"/>
              <w:jc w:val="center"/>
            </w:pPr>
            <w:r>
              <w:rPr>
                <w:rFonts w:ascii="Times New Roman" w:hAnsi="Times New Roman"/>
                <w:b w:val="0"/>
                <w:bCs w:val="0"/>
                <w:sz w:val="21"/>
                <w:szCs w:val="21"/>
              </w:rPr>
              <w:t>第二天</w:t>
            </w:r>
          </w:p>
        </w:tc>
        <w:tc>
          <w:tcPr>
            <w:tcW w:w="2200" w:type="dxa"/>
            <w:tcBorders>
              <w:top w:val="single" w:color="000000" w:sz="4" w:space="0"/>
              <w:left w:val="single" w:color="000000" w:sz="4" w:space="0"/>
              <w:bottom w:val="single" w:color="000000" w:sz="4" w:space="0"/>
              <w:right w:val="single" w:color="000000" w:sz="4" w:space="0"/>
            </w:tcBorders>
            <w:vAlign w:val="center"/>
          </w:tcPr>
          <w:p w14:paraId="21844CA6">
            <w:pPr>
              <w:widowControl w:val="0"/>
              <w:spacing w:line="300" w:lineRule="exact"/>
              <w:jc w:val="center"/>
            </w:pPr>
            <w:r>
              <w:rPr>
                <w:rFonts w:ascii="Times New Roman" w:hAnsi="Times New Roman"/>
                <w:b w:val="0"/>
                <w:bCs w:val="0"/>
                <w:sz w:val="21"/>
                <w:szCs w:val="21"/>
              </w:rPr>
              <w:t xml:space="preserve">上午 </w:t>
            </w:r>
            <w:r>
              <w:rPr>
                <w:rFonts w:eastAsia="仿宋"/>
                <w:b w:val="0"/>
                <w:bCs w:val="0"/>
                <w:sz w:val="21"/>
                <w:szCs w:val="21"/>
              </w:rPr>
              <w:t>8:30—10:00</w:t>
            </w:r>
          </w:p>
        </w:tc>
        <w:tc>
          <w:tcPr>
            <w:tcW w:w="3645" w:type="dxa"/>
            <w:tcBorders>
              <w:top w:val="single" w:color="000000" w:sz="4" w:space="0"/>
              <w:left w:val="single" w:color="000000" w:sz="4" w:space="0"/>
              <w:bottom w:val="single" w:color="000000" w:sz="4" w:space="0"/>
              <w:right w:val="single" w:color="000000" w:sz="4" w:space="0"/>
            </w:tcBorders>
            <w:vAlign w:val="center"/>
          </w:tcPr>
          <w:p w14:paraId="3FA0C7C7">
            <w:pPr>
              <w:widowControl w:val="0"/>
              <w:spacing w:line="300" w:lineRule="exact"/>
              <w:jc w:val="left"/>
            </w:pPr>
            <w:r>
              <w:rPr>
                <w:rFonts w:ascii="Times New Roman" w:hAnsi="Times New Roman"/>
                <w:b w:val="0"/>
                <w:bCs w:val="0"/>
                <w:sz w:val="21"/>
                <w:szCs w:val="21"/>
              </w:rPr>
              <w:t>专升本升学培养项目全解析</w:t>
            </w:r>
          </w:p>
        </w:tc>
        <w:tc>
          <w:tcPr>
            <w:tcW w:w="1999" w:type="dxa"/>
            <w:tcBorders>
              <w:top w:val="single" w:color="000000" w:sz="4" w:space="0"/>
              <w:left w:val="single" w:color="000000" w:sz="4" w:space="0"/>
              <w:bottom w:val="single" w:color="000000" w:sz="4" w:space="0"/>
              <w:right w:val="single" w:color="000000" w:sz="4" w:space="0"/>
            </w:tcBorders>
            <w:vAlign w:val="center"/>
          </w:tcPr>
          <w:p w14:paraId="30E82612">
            <w:pPr>
              <w:widowControl w:val="0"/>
              <w:spacing w:line="300" w:lineRule="exact"/>
              <w:jc w:val="center"/>
            </w:pPr>
            <w:r>
              <w:rPr>
                <w:rFonts w:ascii="Times New Roman" w:hAnsi="Times New Roman"/>
                <w:b w:val="0"/>
                <w:bCs w:val="0"/>
                <w:sz w:val="21"/>
                <w:szCs w:val="21"/>
              </w:rPr>
              <w:t>教务处、继续教育学院</w:t>
            </w:r>
          </w:p>
        </w:tc>
      </w:tr>
      <w:tr w14:paraId="3B3F135E">
        <w:tc>
          <w:tcPr>
            <w:tcW w:w="1000" w:type="dxa"/>
            <w:tcBorders>
              <w:top w:val="single" w:color="000000" w:sz="4" w:space="0"/>
              <w:left w:val="single" w:color="000000" w:sz="4" w:space="0"/>
              <w:bottom w:val="single" w:color="000000" w:sz="4" w:space="0"/>
              <w:right w:val="single" w:color="000000" w:sz="4" w:space="0"/>
            </w:tcBorders>
            <w:vAlign w:val="center"/>
          </w:tcPr>
          <w:p w14:paraId="1380C9B0">
            <w:pPr>
              <w:widowControl w:val="0"/>
              <w:spacing w:line="300" w:lineRule="exact"/>
              <w:jc w:val="center"/>
            </w:pPr>
            <w:r>
              <w:rPr>
                <w:rFonts w:ascii="Times New Roman" w:hAnsi="Times New Roman"/>
                <w:b w:val="0"/>
                <w:bCs w:val="0"/>
                <w:sz w:val="21"/>
                <w:szCs w:val="21"/>
              </w:rPr>
              <w:t>第二天</w:t>
            </w:r>
          </w:p>
        </w:tc>
        <w:tc>
          <w:tcPr>
            <w:tcW w:w="2200" w:type="dxa"/>
            <w:tcBorders>
              <w:top w:val="single" w:color="000000" w:sz="4" w:space="0"/>
              <w:left w:val="single" w:color="000000" w:sz="4" w:space="0"/>
              <w:bottom w:val="single" w:color="000000" w:sz="4" w:space="0"/>
              <w:right w:val="single" w:color="000000" w:sz="4" w:space="0"/>
            </w:tcBorders>
            <w:vAlign w:val="center"/>
          </w:tcPr>
          <w:p w14:paraId="7F77217F">
            <w:pPr>
              <w:widowControl w:val="0"/>
              <w:spacing w:line="300" w:lineRule="exact"/>
              <w:jc w:val="center"/>
            </w:pPr>
            <w:r>
              <w:rPr>
                <w:rFonts w:ascii="Times New Roman" w:hAnsi="Times New Roman"/>
                <w:b w:val="0"/>
                <w:bCs w:val="0"/>
                <w:sz w:val="21"/>
                <w:szCs w:val="21"/>
              </w:rPr>
              <w:t xml:space="preserve">上午 </w:t>
            </w:r>
            <w:r>
              <w:rPr>
                <w:rFonts w:eastAsia="仿宋"/>
                <w:b w:val="0"/>
                <w:bCs w:val="0"/>
                <w:sz w:val="21"/>
                <w:szCs w:val="21"/>
              </w:rPr>
              <w:t>10:10—11:40</w:t>
            </w:r>
          </w:p>
        </w:tc>
        <w:tc>
          <w:tcPr>
            <w:tcW w:w="3645" w:type="dxa"/>
            <w:tcBorders>
              <w:top w:val="single" w:color="000000" w:sz="4" w:space="0"/>
              <w:left w:val="single" w:color="000000" w:sz="4" w:space="0"/>
              <w:bottom w:val="single" w:color="000000" w:sz="4" w:space="0"/>
              <w:right w:val="single" w:color="000000" w:sz="4" w:space="0"/>
            </w:tcBorders>
            <w:vAlign w:val="center"/>
          </w:tcPr>
          <w:p w14:paraId="0E39EF0A">
            <w:pPr>
              <w:widowControl w:val="0"/>
              <w:spacing w:line="300" w:lineRule="exact"/>
              <w:jc w:val="left"/>
            </w:pPr>
            <w:r>
              <w:rPr>
                <w:rFonts w:ascii="Times New Roman" w:hAnsi="Times New Roman"/>
                <w:b w:val="0"/>
                <w:bCs w:val="0"/>
                <w:sz w:val="21"/>
                <w:szCs w:val="21"/>
              </w:rPr>
              <w:t>中医师承赋能与职业技能培训考证体系</w:t>
            </w:r>
          </w:p>
        </w:tc>
        <w:tc>
          <w:tcPr>
            <w:tcW w:w="1999" w:type="dxa"/>
            <w:tcBorders>
              <w:top w:val="single" w:color="000000" w:sz="4" w:space="0"/>
              <w:left w:val="single" w:color="000000" w:sz="4" w:space="0"/>
              <w:bottom w:val="single" w:color="000000" w:sz="4" w:space="0"/>
              <w:right w:val="single" w:color="000000" w:sz="4" w:space="0"/>
            </w:tcBorders>
            <w:vAlign w:val="center"/>
          </w:tcPr>
          <w:p w14:paraId="6879682B">
            <w:pPr>
              <w:widowControl w:val="0"/>
              <w:spacing w:line="300" w:lineRule="exact"/>
              <w:jc w:val="center"/>
            </w:pPr>
            <w:r>
              <w:rPr>
                <w:rFonts w:ascii="Times New Roman" w:hAnsi="Times New Roman"/>
                <w:b w:val="0"/>
                <w:bCs w:val="0"/>
                <w:sz w:val="21"/>
                <w:szCs w:val="21"/>
              </w:rPr>
              <w:t>继续教育学院</w:t>
            </w:r>
          </w:p>
        </w:tc>
      </w:tr>
      <w:tr w14:paraId="2DF69BA3">
        <w:tc>
          <w:tcPr>
            <w:tcW w:w="1000" w:type="dxa"/>
            <w:tcBorders>
              <w:top w:val="single" w:color="000000" w:sz="4" w:space="0"/>
              <w:left w:val="single" w:color="000000" w:sz="4" w:space="0"/>
              <w:bottom w:val="single" w:color="000000" w:sz="4" w:space="0"/>
              <w:right w:val="single" w:color="000000" w:sz="4" w:space="0"/>
            </w:tcBorders>
            <w:vAlign w:val="center"/>
          </w:tcPr>
          <w:p w14:paraId="039ECC3C">
            <w:pPr>
              <w:widowControl w:val="0"/>
              <w:spacing w:line="300" w:lineRule="exact"/>
              <w:jc w:val="center"/>
            </w:pPr>
            <w:r>
              <w:rPr>
                <w:rFonts w:ascii="Times New Roman" w:hAnsi="Times New Roman"/>
                <w:b w:val="0"/>
                <w:bCs w:val="0"/>
                <w:sz w:val="21"/>
                <w:szCs w:val="21"/>
              </w:rPr>
              <w:t>第二天</w:t>
            </w:r>
          </w:p>
        </w:tc>
        <w:tc>
          <w:tcPr>
            <w:tcW w:w="2200" w:type="dxa"/>
            <w:tcBorders>
              <w:top w:val="single" w:color="000000" w:sz="4" w:space="0"/>
              <w:left w:val="single" w:color="000000" w:sz="4" w:space="0"/>
              <w:bottom w:val="single" w:color="000000" w:sz="4" w:space="0"/>
              <w:right w:val="single" w:color="000000" w:sz="4" w:space="0"/>
            </w:tcBorders>
            <w:vAlign w:val="center"/>
          </w:tcPr>
          <w:p w14:paraId="6C7664D3">
            <w:pPr>
              <w:widowControl w:val="0"/>
              <w:spacing w:line="300" w:lineRule="exact"/>
              <w:jc w:val="center"/>
            </w:pPr>
            <w:r>
              <w:rPr>
                <w:rFonts w:ascii="Times New Roman" w:hAnsi="Times New Roman"/>
                <w:b w:val="0"/>
                <w:bCs w:val="0"/>
                <w:sz w:val="21"/>
                <w:szCs w:val="21"/>
              </w:rPr>
              <w:t xml:space="preserve">下午 </w:t>
            </w:r>
            <w:r>
              <w:rPr>
                <w:rFonts w:eastAsia="仿宋"/>
                <w:b w:val="0"/>
                <w:bCs w:val="0"/>
                <w:sz w:val="21"/>
                <w:szCs w:val="21"/>
              </w:rPr>
              <w:t>14:30—15:30</w:t>
            </w:r>
          </w:p>
        </w:tc>
        <w:tc>
          <w:tcPr>
            <w:tcW w:w="3645" w:type="dxa"/>
            <w:tcBorders>
              <w:top w:val="single" w:color="000000" w:sz="4" w:space="0"/>
              <w:left w:val="single" w:color="000000" w:sz="4" w:space="0"/>
              <w:bottom w:val="single" w:color="000000" w:sz="4" w:space="0"/>
              <w:right w:val="single" w:color="000000" w:sz="4" w:space="0"/>
            </w:tcBorders>
            <w:vAlign w:val="center"/>
          </w:tcPr>
          <w:p w14:paraId="164594EE">
            <w:pPr>
              <w:widowControl w:val="0"/>
              <w:spacing w:line="300" w:lineRule="exact"/>
              <w:jc w:val="left"/>
            </w:pPr>
            <w:r>
              <w:rPr>
                <w:rFonts w:ascii="Times New Roman" w:hAnsi="Times New Roman"/>
                <w:b w:val="0"/>
                <w:bCs w:val="0"/>
                <w:sz w:val="21"/>
                <w:szCs w:val="21"/>
              </w:rPr>
              <w:t>实习就业保障体系与成果、国际留学合作项目介绍</w:t>
            </w:r>
          </w:p>
        </w:tc>
        <w:tc>
          <w:tcPr>
            <w:tcW w:w="1999" w:type="dxa"/>
            <w:tcBorders>
              <w:top w:val="single" w:color="000000" w:sz="4" w:space="0"/>
              <w:left w:val="single" w:color="000000" w:sz="4" w:space="0"/>
              <w:bottom w:val="single" w:color="000000" w:sz="4" w:space="0"/>
              <w:right w:val="single" w:color="000000" w:sz="4" w:space="0"/>
            </w:tcBorders>
            <w:vAlign w:val="center"/>
          </w:tcPr>
          <w:p w14:paraId="0C56AC07">
            <w:pPr>
              <w:widowControl w:val="0"/>
              <w:spacing w:line="300" w:lineRule="exact"/>
              <w:jc w:val="center"/>
            </w:pPr>
            <w:r>
              <w:rPr>
                <w:rFonts w:ascii="Times New Roman" w:hAnsi="Times New Roman"/>
                <w:b w:val="0"/>
                <w:bCs w:val="0"/>
                <w:sz w:val="21"/>
                <w:szCs w:val="21"/>
              </w:rPr>
              <w:t>招生就业处、国际交流中心</w:t>
            </w:r>
          </w:p>
        </w:tc>
      </w:tr>
      <w:tr w14:paraId="7CD71558">
        <w:tc>
          <w:tcPr>
            <w:tcW w:w="1000" w:type="dxa"/>
            <w:tcBorders>
              <w:top w:val="single" w:color="000000" w:sz="4" w:space="0"/>
              <w:left w:val="single" w:color="000000" w:sz="4" w:space="0"/>
              <w:bottom w:val="single" w:color="000000" w:sz="4" w:space="0"/>
              <w:right w:val="single" w:color="000000" w:sz="4" w:space="0"/>
            </w:tcBorders>
            <w:vAlign w:val="center"/>
          </w:tcPr>
          <w:p w14:paraId="59632117">
            <w:pPr>
              <w:widowControl w:val="0"/>
              <w:spacing w:line="300" w:lineRule="exact"/>
              <w:jc w:val="center"/>
            </w:pPr>
            <w:r>
              <w:rPr>
                <w:rFonts w:ascii="Times New Roman" w:hAnsi="Times New Roman"/>
                <w:b w:val="0"/>
                <w:bCs w:val="0"/>
                <w:sz w:val="21"/>
                <w:szCs w:val="21"/>
              </w:rPr>
              <w:t>第二天</w:t>
            </w:r>
          </w:p>
        </w:tc>
        <w:tc>
          <w:tcPr>
            <w:tcW w:w="2200" w:type="dxa"/>
            <w:tcBorders>
              <w:top w:val="single" w:color="000000" w:sz="4" w:space="0"/>
              <w:left w:val="single" w:color="000000" w:sz="4" w:space="0"/>
              <w:bottom w:val="single" w:color="000000" w:sz="4" w:space="0"/>
              <w:right w:val="single" w:color="000000" w:sz="4" w:space="0"/>
            </w:tcBorders>
            <w:vAlign w:val="center"/>
          </w:tcPr>
          <w:p w14:paraId="7E4BD5E2">
            <w:pPr>
              <w:widowControl w:val="0"/>
              <w:spacing w:line="300" w:lineRule="exact"/>
              <w:jc w:val="center"/>
            </w:pPr>
            <w:r>
              <w:rPr>
                <w:rFonts w:ascii="Times New Roman" w:hAnsi="Times New Roman"/>
                <w:b w:val="0"/>
                <w:bCs w:val="0"/>
                <w:sz w:val="21"/>
                <w:szCs w:val="21"/>
              </w:rPr>
              <w:t xml:space="preserve">下午 </w:t>
            </w:r>
            <w:r>
              <w:rPr>
                <w:rFonts w:eastAsia="仿宋"/>
                <w:b w:val="0"/>
                <w:bCs w:val="0"/>
                <w:sz w:val="21"/>
                <w:szCs w:val="21"/>
              </w:rPr>
              <w:t>15:40—16:20</w:t>
            </w:r>
          </w:p>
        </w:tc>
        <w:tc>
          <w:tcPr>
            <w:tcW w:w="3645" w:type="dxa"/>
            <w:tcBorders>
              <w:top w:val="single" w:color="000000" w:sz="4" w:space="0"/>
              <w:left w:val="single" w:color="000000" w:sz="4" w:space="0"/>
              <w:bottom w:val="single" w:color="000000" w:sz="4" w:space="0"/>
              <w:right w:val="single" w:color="000000" w:sz="4" w:space="0"/>
            </w:tcBorders>
            <w:vAlign w:val="center"/>
          </w:tcPr>
          <w:p w14:paraId="65734FBC">
            <w:pPr>
              <w:widowControl w:val="0"/>
              <w:spacing w:line="300" w:lineRule="exact"/>
              <w:jc w:val="left"/>
            </w:pPr>
            <w:r>
              <w:rPr>
                <w:rFonts w:ascii="Times New Roman" w:hAnsi="Times New Roman"/>
                <w:b w:val="0"/>
                <w:bCs w:val="0"/>
                <w:sz w:val="21"/>
                <w:szCs w:val="21"/>
              </w:rPr>
              <w:t>中医药特色产业研发与文创产品项目介绍</w:t>
            </w:r>
          </w:p>
        </w:tc>
        <w:tc>
          <w:tcPr>
            <w:tcW w:w="1999" w:type="dxa"/>
            <w:tcBorders>
              <w:top w:val="single" w:color="000000" w:sz="4" w:space="0"/>
              <w:left w:val="single" w:color="000000" w:sz="4" w:space="0"/>
              <w:bottom w:val="single" w:color="000000" w:sz="4" w:space="0"/>
              <w:right w:val="single" w:color="000000" w:sz="4" w:space="0"/>
            </w:tcBorders>
            <w:vAlign w:val="center"/>
          </w:tcPr>
          <w:p w14:paraId="50A153FA">
            <w:pPr>
              <w:widowControl w:val="0"/>
              <w:spacing w:line="300" w:lineRule="exact"/>
              <w:jc w:val="center"/>
            </w:pPr>
            <w:r>
              <w:rPr>
                <w:rFonts w:ascii="Times New Roman" w:hAnsi="Times New Roman"/>
                <w:b w:val="0"/>
                <w:bCs w:val="0"/>
                <w:sz w:val="21"/>
                <w:szCs w:val="21"/>
              </w:rPr>
              <w:t>学院产业研发中心</w:t>
            </w:r>
          </w:p>
        </w:tc>
      </w:tr>
      <w:tr w14:paraId="6E19CB9E">
        <w:tc>
          <w:tcPr>
            <w:tcW w:w="1000" w:type="dxa"/>
            <w:tcBorders>
              <w:top w:val="single" w:color="000000" w:sz="4" w:space="0"/>
              <w:left w:val="single" w:color="000000" w:sz="4" w:space="0"/>
              <w:bottom w:val="single" w:color="000000" w:sz="4" w:space="0"/>
              <w:right w:val="single" w:color="000000" w:sz="4" w:space="0"/>
            </w:tcBorders>
            <w:vAlign w:val="center"/>
          </w:tcPr>
          <w:p w14:paraId="6F71B223">
            <w:pPr>
              <w:widowControl w:val="0"/>
              <w:spacing w:line="300" w:lineRule="exact"/>
              <w:jc w:val="center"/>
            </w:pPr>
            <w:r>
              <w:rPr>
                <w:rFonts w:ascii="Times New Roman" w:hAnsi="Times New Roman"/>
                <w:b w:val="0"/>
                <w:bCs w:val="0"/>
                <w:sz w:val="21"/>
                <w:szCs w:val="21"/>
              </w:rPr>
              <w:t>第二天</w:t>
            </w:r>
          </w:p>
        </w:tc>
        <w:tc>
          <w:tcPr>
            <w:tcW w:w="2200" w:type="dxa"/>
            <w:tcBorders>
              <w:top w:val="single" w:color="000000" w:sz="4" w:space="0"/>
              <w:left w:val="single" w:color="000000" w:sz="4" w:space="0"/>
              <w:bottom w:val="single" w:color="000000" w:sz="4" w:space="0"/>
              <w:right w:val="single" w:color="000000" w:sz="4" w:space="0"/>
            </w:tcBorders>
            <w:vAlign w:val="center"/>
          </w:tcPr>
          <w:p w14:paraId="26D619D0">
            <w:pPr>
              <w:widowControl w:val="0"/>
              <w:spacing w:line="300" w:lineRule="exact"/>
              <w:jc w:val="center"/>
            </w:pPr>
            <w:r>
              <w:rPr>
                <w:rFonts w:ascii="Times New Roman" w:hAnsi="Times New Roman"/>
                <w:b w:val="0"/>
                <w:bCs w:val="0"/>
                <w:sz w:val="21"/>
                <w:szCs w:val="21"/>
              </w:rPr>
              <w:t xml:space="preserve">下午 </w:t>
            </w:r>
            <w:r>
              <w:rPr>
                <w:rFonts w:eastAsia="仿宋"/>
                <w:b w:val="0"/>
                <w:bCs w:val="0"/>
                <w:sz w:val="21"/>
                <w:szCs w:val="21"/>
              </w:rPr>
              <w:t>16:30—17:40</w:t>
            </w:r>
          </w:p>
        </w:tc>
        <w:tc>
          <w:tcPr>
            <w:tcW w:w="3645" w:type="dxa"/>
            <w:tcBorders>
              <w:top w:val="single" w:color="000000" w:sz="4" w:space="0"/>
              <w:left w:val="single" w:color="000000" w:sz="4" w:space="0"/>
              <w:bottom w:val="single" w:color="000000" w:sz="4" w:space="0"/>
              <w:right w:val="single" w:color="000000" w:sz="4" w:space="0"/>
            </w:tcBorders>
            <w:vAlign w:val="center"/>
          </w:tcPr>
          <w:p w14:paraId="52B48189">
            <w:pPr>
              <w:widowControl w:val="0"/>
              <w:spacing w:line="300" w:lineRule="exact"/>
              <w:jc w:val="left"/>
            </w:pPr>
            <w:r>
              <w:rPr>
                <w:rFonts w:ascii="Times New Roman" w:hAnsi="Times New Roman"/>
                <w:b w:val="0"/>
                <w:bCs w:val="0"/>
                <w:sz w:val="21"/>
                <w:szCs w:val="21"/>
              </w:rPr>
              <w:t>特邀院校优秀招生宣传经验分享与生源对接实操</w:t>
            </w:r>
          </w:p>
        </w:tc>
        <w:tc>
          <w:tcPr>
            <w:tcW w:w="1999" w:type="dxa"/>
            <w:tcBorders>
              <w:top w:val="single" w:color="000000" w:sz="4" w:space="0"/>
              <w:left w:val="single" w:color="000000" w:sz="4" w:space="0"/>
              <w:bottom w:val="single" w:color="000000" w:sz="4" w:space="0"/>
              <w:right w:val="single" w:color="000000" w:sz="4" w:space="0"/>
            </w:tcBorders>
            <w:vAlign w:val="center"/>
          </w:tcPr>
          <w:p w14:paraId="02ED154C">
            <w:pPr>
              <w:widowControl w:val="0"/>
              <w:spacing w:line="300" w:lineRule="exact"/>
              <w:jc w:val="center"/>
            </w:pPr>
            <w:r>
              <w:rPr>
                <w:rFonts w:ascii="Times New Roman" w:hAnsi="Times New Roman"/>
                <w:b w:val="0"/>
                <w:bCs w:val="0"/>
                <w:sz w:val="21"/>
                <w:szCs w:val="21"/>
              </w:rPr>
              <w:t>特邀嘉宾、招生处</w:t>
            </w:r>
          </w:p>
        </w:tc>
      </w:tr>
    </w:tbl>
    <w:p w14:paraId="1199A2A7">
      <w:pPr>
        <w:spacing w:before="180" w:after="0" w:line="560" w:lineRule="exact"/>
        <w:ind w:firstLine="640"/>
        <w:jc w:val="both"/>
      </w:pPr>
      <w:r>
        <w:rPr>
          <w:rFonts w:ascii="Times New Roman" w:hAnsi="Times New Roman"/>
          <w:b w:val="0"/>
          <w:bCs w:val="0"/>
          <w:sz w:val="32"/>
          <w:szCs w:val="32"/>
        </w:rPr>
        <w:t>培训结束后统一组织</w:t>
      </w:r>
      <w:r>
        <w:rPr>
          <w:rFonts w:eastAsia="仿宋"/>
          <w:b w:val="0"/>
          <w:bCs w:val="0"/>
          <w:sz w:val="32"/>
          <w:szCs w:val="32"/>
        </w:rPr>
        <w:t>2027</w:t>
      </w:r>
      <w:r>
        <w:rPr>
          <w:rFonts w:ascii="Times New Roman" w:hAnsi="Times New Roman"/>
          <w:b w:val="0"/>
          <w:bCs w:val="0"/>
          <w:sz w:val="32"/>
          <w:szCs w:val="32"/>
        </w:rPr>
        <w:t>年单招政策测试与模拟宣讲考核，考核合格方可承担对外宣讲任务。</w:t>
      </w:r>
    </w:p>
    <w:p w14:paraId="0C955D9A">
      <w:pPr>
        <w:pStyle w:val="2"/>
      </w:pPr>
      <w:r>
        <w:rPr>
          <w:rFonts w:ascii="Times New Roman" w:hAnsi="Times New Roman"/>
          <w:sz w:val="32"/>
          <w:szCs w:val="32"/>
        </w:rPr>
        <w:t>三、学院核心概况</w:t>
      </w:r>
    </w:p>
    <w:p w14:paraId="3C15F571">
      <w:pPr>
        <w:spacing w:before="0" w:after="0" w:line="560" w:lineRule="exact"/>
        <w:ind w:firstLine="640"/>
        <w:jc w:val="both"/>
      </w:pPr>
      <w:r>
        <w:rPr>
          <w:rFonts w:ascii="Times New Roman" w:hAnsi="Times New Roman"/>
          <w:b w:val="0"/>
          <w:bCs w:val="0"/>
          <w:sz w:val="32"/>
          <w:szCs w:val="32"/>
        </w:rPr>
        <w:t>本板块设置学院办学核心概况专项讲解，具体讲解内容、配套资料由招生处、学院办公室承接。</w:t>
      </w:r>
    </w:p>
    <w:p w14:paraId="20821900">
      <w:pPr>
        <w:pStyle w:val="3"/>
      </w:pPr>
      <w:r>
        <w:rPr>
          <w:rFonts w:ascii="Times New Roman" w:hAnsi="Times New Roman"/>
          <w:sz w:val="32"/>
          <w:szCs w:val="32"/>
        </w:rPr>
        <w:t>（一）办学资质与办学定位</w:t>
      </w:r>
    </w:p>
    <w:p w14:paraId="67A90468">
      <w:pPr>
        <w:spacing w:before="0" w:after="0" w:line="560" w:lineRule="exact"/>
        <w:ind w:firstLine="640"/>
        <w:jc w:val="both"/>
      </w:pPr>
      <w:r>
        <w:rPr>
          <w:rFonts w:ascii="Times New Roman" w:hAnsi="Times New Roman"/>
          <w:b w:val="0"/>
          <w:bCs w:val="0"/>
          <w:sz w:val="32"/>
          <w:szCs w:val="32"/>
        </w:rPr>
        <w:t>学院是经江西省人民政府批准设立（</w:t>
      </w:r>
      <w:r>
        <w:rPr>
          <w:rFonts w:eastAsia="仿宋"/>
          <w:b w:val="0"/>
          <w:bCs w:val="0"/>
          <w:sz w:val="32"/>
          <w:szCs w:val="32"/>
        </w:rPr>
        <w:t>2023</w:t>
      </w:r>
      <w:r>
        <w:rPr>
          <w:rFonts w:ascii="Times New Roman" w:hAnsi="Times New Roman"/>
          <w:b w:val="0"/>
          <w:bCs w:val="0"/>
          <w:sz w:val="32"/>
          <w:szCs w:val="32"/>
        </w:rPr>
        <w:t>年</w:t>
      </w:r>
      <w:r>
        <w:rPr>
          <w:rFonts w:eastAsia="仿宋"/>
          <w:b w:val="0"/>
          <w:bCs w:val="0"/>
          <w:sz w:val="32"/>
          <w:szCs w:val="32"/>
        </w:rPr>
        <w:t>4</w:t>
      </w:r>
      <w:r>
        <w:rPr>
          <w:rFonts w:ascii="Times New Roman" w:hAnsi="Times New Roman"/>
          <w:b w:val="0"/>
          <w:bCs w:val="0"/>
          <w:sz w:val="32"/>
          <w:szCs w:val="32"/>
        </w:rPr>
        <w:t>月）、教育部备案（</w:t>
      </w:r>
      <w:r>
        <w:rPr>
          <w:rFonts w:eastAsia="仿宋"/>
          <w:b w:val="0"/>
          <w:bCs w:val="0"/>
          <w:sz w:val="32"/>
          <w:szCs w:val="32"/>
        </w:rPr>
        <w:t>2023</w:t>
      </w:r>
      <w:r>
        <w:rPr>
          <w:rFonts w:ascii="Times New Roman" w:hAnsi="Times New Roman"/>
          <w:b w:val="0"/>
          <w:bCs w:val="0"/>
          <w:sz w:val="32"/>
          <w:szCs w:val="32"/>
        </w:rPr>
        <w:t>年</w:t>
      </w:r>
      <w:r>
        <w:rPr>
          <w:rFonts w:eastAsia="仿宋"/>
          <w:b w:val="0"/>
          <w:bCs w:val="0"/>
          <w:sz w:val="32"/>
          <w:szCs w:val="32"/>
        </w:rPr>
        <w:t>8</w:t>
      </w:r>
      <w:r>
        <w:rPr>
          <w:rFonts w:ascii="Times New Roman" w:hAnsi="Times New Roman"/>
          <w:b w:val="0"/>
          <w:bCs w:val="0"/>
          <w:sz w:val="32"/>
          <w:szCs w:val="32"/>
        </w:rPr>
        <w:t>月）</w:t>
      </w:r>
      <w:r>
        <w:rPr>
          <w:rFonts w:hint="eastAsia"/>
          <w:b w:val="0"/>
          <w:bCs w:val="0"/>
          <w:sz w:val="32"/>
          <w:szCs w:val="32"/>
          <w:lang w:eastAsia="zh-CN"/>
        </w:rPr>
        <w:t>，</w:t>
      </w:r>
      <w:r>
        <w:rPr>
          <w:rFonts w:ascii="Times New Roman" w:hAnsi="Times New Roman"/>
          <w:b w:val="0"/>
          <w:bCs w:val="0"/>
          <w:sz w:val="32"/>
          <w:szCs w:val="32"/>
        </w:rPr>
        <w:t>由江西省教育厅主管的民办非营利性全日制普通高等专科职业院校，</w:t>
      </w:r>
      <w:r>
        <w:rPr>
          <w:rFonts w:eastAsia="仿宋"/>
          <w:b w:val="0"/>
          <w:bCs w:val="0"/>
          <w:sz w:val="32"/>
          <w:szCs w:val="32"/>
        </w:rPr>
        <w:t>2024</w:t>
      </w:r>
      <w:r>
        <w:rPr>
          <w:rFonts w:ascii="Times New Roman" w:hAnsi="Times New Roman"/>
          <w:b w:val="0"/>
          <w:bCs w:val="0"/>
          <w:sz w:val="32"/>
          <w:szCs w:val="32"/>
        </w:rPr>
        <w:t>年</w:t>
      </w:r>
      <w:r>
        <w:rPr>
          <w:rFonts w:eastAsia="仿宋"/>
          <w:b w:val="0"/>
          <w:bCs w:val="0"/>
          <w:sz w:val="32"/>
          <w:szCs w:val="32"/>
        </w:rPr>
        <w:t>9</w:t>
      </w:r>
      <w:r>
        <w:rPr>
          <w:rFonts w:ascii="Times New Roman" w:hAnsi="Times New Roman"/>
          <w:b w:val="0"/>
          <w:bCs w:val="0"/>
          <w:sz w:val="32"/>
          <w:szCs w:val="32"/>
        </w:rPr>
        <w:t>月首批学生入学。国标代码</w:t>
      </w:r>
      <w:r>
        <w:rPr>
          <w:rFonts w:eastAsia="仿宋"/>
          <w:b w:val="0"/>
          <w:bCs w:val="0"/>
          <w:sz w:val="32"/>
          <w:szCs w:val="32"/>
        </w:rPr>
        <w:t>14837</w:t>
      </w:r>
      <w:r>
        <w:rPr>
          <w:rFonts w:ascii="Times New Roman" w:hAnsi="Times New Roman"/>
          <w:b w:val="0"/>
          <w:bCs w:val="0"/>
          <w:sz w:val="32"/>
          <w:szCs w:val="32"/>
        </w:rPr>
        <w:t>，省内单招报考代码</w:t>
      </w:r>
      <w:r>
        <w:rPr>
          <w:rFonts w:eastAsia="仿宋"/>
          <w:b w:val="0"/>
          <w:bCs w:val="0"/>
          <w:sz w:val="32"/>
          <w:szCs w:val="32"/>
        </w:rPr>
        <w:t>8698</w:t>
      </w:r>
      <w:r>
        <w:rPr>
          <w:rFonts w:ascii="Times New Roman" w:hAnsi="Times New Roman"/>
          <w:b w:val="0"/>
          <w:bCs w:val="0"/>
          <w:sz w:val="32"/>
          <w:szCs w:val="32"/>
        </w:rPr>
        <w:t>。学院立足樟树、服务江西、辐射全国，围绕中医药和大健康产业发展需求，力争建成江西省中医药产业高素质技术技能型人才培养基地、樟树中医药产业应用技术推广与研发中心、地方优秀传统文化传承创新高地。</w:t>
      </w:r>
    </w:p>
    <w:p w14:paraId="1BA124A5">
      <w:pPr>
        <w:pStyle w:val="3"/>
      </w:pPr>
      <w:r>
        <w:rPr>
          <w:rFonts w:ascii="Times New Roman" w:hAnsi="Times New Roman"/>
          <w:sz w:val="32"/>
          <w:szCs w:val="32"/>
        </w:rPr>
        <w:t>（二）办学硬件与实训条件</w:t>
      </w:r>
    </w:p>
    <w:p w14:paraId="428F1B99">
      <w:pPr>
        <w:spacing w:before="0" w:after="0" w:line="560" w:lineRule="exact"/>
        <w:ind w:firstLine="640"/>
        <w:jc w:val="both"/>
      </w:pPr>
      <w:r>
        <w:rPr>
          <w:rFonts w:ascii="Times New Roman" w:hAnsi="Times New Roman"/>
          <w:b w:val="0"/>
          <w:bCs w:val="0"/>
          <w:sz w:val="32"/>
          <w:szCs w:val="32"/>
        </w:rPr>
        <w:t>校园占地面积</w:t>
      </w:r>
      <w:r>
        <w:rPr>
          <w:rFonts w:eastAsia="仿宋"/>
          <w:b w:val="0"/>
          <w:bCs w:val="0"/>
          <w:sz w:val="32"/>
          <w:szCs w:val="32"/>
        </w:rPr>
        <w:t>436.87</w:t>
      </w:r>
      <w:r>
        <w:rPr>
          <w:rFonts w:ascii="Times New Roman" w:hAnsi="Times New Roman"/>
          <w:b w:val="0"/>
          <w:bCs w:val="0"/>
          <w:sz w:val="32"/>
          <w:szCs w:val="32"/>
        </w:rPr>
        <w:t>亩，规划建筑面积</w:t>
      </w:r>
      <w:r>
        <w:rPr>
          <w:rFonts w:eastAsia="仿宋"/>
          <w:b w:val="0"/>
          <w:bCs w:val="0"/>
          <w:sz w:val="32"/>
          <w:szCs w:val="32"/>
        </w:rPr>
        <w:t>22</w:t>
      </w:r>
      <w:r>
        <w:rPr>
          <w:rFonts w:ascii="Times New Roman" w:hAnsi="Times New Roman"/>
          <w:b w:val="0"/>
          <w:bCs w:val="0"/>
          <w:sz w:val="32"/>
          <w:szCs w:val="32"/>
        </w:rPr>
        <w:t>万平方米，现已建成校舍面积</w:t>
      </w:r>
      <w:r>
        <w:rPr>
          <w:rFonts w:eastAsia="仿宋"/>
          <w:b w:val="0"/>
          <w:bCs w:val="0"/>
          <w:sz w:val="32"/>
          <w:szCs w:val="32"/>
        </w:rPr>
        <w:t>7.12</w:t>
      </w:r>
      <w:r>
        <w:rPr>
          <w:rFonts w:ascii="Times New Roman" w:hAnsi="Times New Roman"/>
          <w:b w:val="0"/>
          <w:bCs w:val="0"/>
          <w:sz w:val="32"/>
          <w:szCs w:val="32"/>
        </w:rPr>
        <w:t>万平方米，可容纳</w:t>
      </w:r>
      <w:r>
        <w:rPr>
          <w:rFonts w:eastAsia="仿宋"/>
          <w:b w:val="0"/>
          <w:bCs w:val="0"/>
          <w:sz w:val="32"/>
          <w:szCs w:val="32"/>
        </w:rPr>
        <w:t>6500</w:t>
      </w:r>
      <w:r>
        <w:rPr>
          <w:rFonts w:ascii="Times New Roman" w:hAnsi="Times New Roman"/>
          <w:b w:val="0"/>
          <w:bCs w:val="0"/>
          <w:sz w:val="32"/>
          <w:szCs w:val="32"/>
        </w:rPr>
        <w:t>名学生；建有</w:t>
      </w:r>
      <w:r>
        <w:rPr>
          <w:rFonts w:eastAsia="仿宋"/>
          <w:b w:val="0"/>
          <w:bCs w:val="0"/>
          <w:sz w:val="32"/>
          <w:szCs w:val="32"/>
        </w:rPr>
        <w:t>59</w:t>
      </w:r>
      <w:r>
        <w:rPr>
          <w:rFonts w:ascii="Times New Roman" w:hAnsi="Times New Roman"/>
          <w:b w:val="0"/>
          <w:bCs w:val="0"/>
          <w:sz w:val="32"/>
          <w:szCs w:val="32"/>
        </w:rPr>
        <w:t>个校内专业实训实验室，馆藏纸质图书</w:t>
      </w:r>
      <w:r>
        <w:rPr>
          <w:rFonts w:eastAsia="仿宋"/>
          <w:b w:val="0"/>
          <w:bCs w:val="0"/>
          <w:sz w:val="32"/>
          <w:szCs w:val="32"/>
        </w:rPr>
        <w:t>18</w:t>
      </w:r>
      <w:r>
        <w:rPr>
          <w:rFonts w:ascii="Times New Roman" w:hAnsi="Times New Roman"/>
          <w:b w:val="0"/>
          <w:bCs w:val="0"/>
          <w:sz w:val="32"/>
          <w:szCs w:val="32"/>
        </w:rPr>
        <w:t>万册、电子图书</w:t>
      </w:r>
      <w:r>
        <w:rPr>
          <w:rFonts w:eastAsia="仿宋"/>
          <w:b w:val="0"/>
          <w:bCs w:val="0"/>
          <w:sz w:val="32"/>
          <w:szCs w:val="32"/>
        </w:rPr>
        <w:t>150</w:t>
      </w:r>
      <w:r>
        <w:rPr>
          <w:rFonts w:ascii="Times New Roman" w:hAnsi="Times New Roman"/>
          <w:b w:val="0"/>
          <w:bCs w:val="0"/>
          <w:sz w:val="32"/>
          <w:szCs w:val="32"/>
        </w:rPr>
        <w:t>万册，教学仪器设备配套完善。学院位于樟树市阁山镇新街路</w:t>
      </w:r>
      <w:r>
        <w:rPr>
          <w:rFonts w:eastAsia="仿宋"/>
          <w:b w:val="0"/>
          <w:bCs w:val="0"/>
          <w:sz w:val="32"/>
          <w:szCs w:val="32"/>
        </w:rPr>
        <w:t>2</w:t>
      </w:r>
      <w:r>
        <w:rPr>
          <w:rFonts w:ascii="Times New Roman" w:hAnsi="Times New Roman"/>
          <w:b w:val="0"/>
          <w:bCs w:val="0"/>
          <w:sz w:val="32"/>
          <w:szCs w:val="32"/>
        </w:rPr>
        <w:t>号，毗邻樟树东高铁站，至省会南昌乘高铁约</w:t>
      </w:r>
      <w:r>
        <w:rPr>
          <w:rFonts w:eastAsia="仿宋"/>
          <w:b w:val="0"/>
          <w:bCs w:val="0"/>
          <w:sz w:val="32"/>
          <w:szCs w:val="32"/>
        </w:rPr>
        <w:t>30</w:t>
      </w:r>
      <w:r>
        <w:rPr>
          <w:rFonts w:ascii="Times New Roman" w:hAnsi="Times New Roman"/>
          <w:b w:val="0"/>
          <w:bCs w:val="0"/>
          <w:sz w:val="32"/>
          <w:szCs w:val="32"/>
        </w:rPr>
        <w:t>分钟，交通便利。</w:t>
      </w:r>
    </w:p>
    <w:p w14:paraId="2502A233">
      <w:pPr>
        <w:pStyle w:val="3"/>
      </w:pPr>
      <w:r>
        <w:rPr>
          <w:rFonts w:ascii="Times New Roman" w:hAnsi="Times New Roman"/>
          <w:sz w:val="32"/>
          <w:szCs w:val="32"/>
        </w:rPr>
        <w:t>（三）师资队伍配置</w:t>
      </w:r>
    </w:p>
    <w:p w14:paraId="52DAB518">
      <w:pPr>
        <w:spacing w:before="0" w:after="0" w:line="560" w:lineRule="exact"/>
        <w:ind w:firstLine="640"/>
        <w:jc w:val="both"/>
      </w:pPr>
      <w:r>
        <w:rPr>
          <w:rFonts w:ascii="Times New Roman" w:hAnsi="Times New Roman"/>
          <w:b w:val="0"/>
          <w:bCs w:val="0"/>
          <w:sz w:val="32"/>
          <w:szCs w:val="32"/>
        </w:rPr>
        <w:t>现有教职员工</w:t>
      </w:r>
      <w:r>
        <w:rPr>
          <w:rFonts w:eastAsia="仿宋"/>
          <w:b w:val="0"/>
          <w:bCs w:val="0"/>
          <w:sz w:val="32"/>
          <w:szCs w:val="32"/>
        </w:rPr>
        <w:t>178</w:t>
      </w:r>
      <w:r>
        <w:rPr>
          <w:rFonts w:ascii="Times New Roman" w:hAnsi="Times New Roman"/>
          <w:b w:val="0"/>
          <w:bCs w:val="0"/>
          <w:sz w:val="32"/>
          <w:szCs w:val="32"/>
        </w:rPr>
        <w:t>人，其中专任教师</w:t>
      </w:r>
      <w:r>
        <w:rPr>
          <w:rFonts w:eastAsia="仿宋"/>
          <w:b w:val="0"/>
          <w:bCs w:val="0"/>
          <w:sz w:val="32"/>
          <w:szCs w:val="32"/>
        </w:rPr>
        <w:t>117</w:t>
      </w:r>
      <w:r>
        <w:rPr>
          <w:rFonts w:ascii="Times New Roman" w:hAnsi="Times New Roman"/>
          <w:b w:val="0"/>
          <w:bCs w:val="0"/>
          <w:sz w:val="32"/>
          <w:szCs w:val="32"/>
        </w:rPr>
        <w:t>人，含正高、副高职称专家以及一批“双师型”骨干教师；同时聘请樟帮传统中药炮制老药工、非遗技艺传承人深度参与教学，形成“专家引领、双师支撑、非遗入课”的师资格局。</w:t>
      </w:r>
    </w:p>
    <w:p w14:paraId="3C25CC9F">
      <w:pPr>
        <w:pStyle w:val="3"/>
      </w:pPr>
      <w:r>
        <w:rPr>
          <w:rFonts w:ascii="Times New Roman" w:hAnsi="Times New Roman"/>
          <w:sz w:val="32"/>
          <w:szCs w:val="32"/>
        </w:rPr>
        <w:t>（四）产教融合与校企合作成果</w:t>
      </w:r>
    </w:p>
    <w:p w14:paraId="37ED5647">
      <w:pPr>
        <w:spacing w:before="0" w:after="0" w:line="560" w:lineRule="exact"/>
        <w:ind w:firstLine="640"/>
        <w:jc w:val="both"/>
      </w:pPr>
      <w:r>
        <w:rPr>
          <w:rFonts w:ascii="Times New Roman" w:hAnsi="Times New Roman"/>
          <w:b w:val="0"/>
          <w:bCs w:val="0"/>
          <w:sz w:val="32"/>
          <w:szCs w:val="32"/>
        </w:rPr>
        <w:t>学院与南昌大学第二附属医院、南昌大学附属康复医院、南昌市人民医院、江西省中西医结合医院、南昌市洪都中医院、樟树市中医医院、樟树市人民医院、仁和集团、益丰大药房连锁股份有限公司等</w:t>
      </w:r>
      <w:r>
        <w:rPr>
          <w:rFonts w:eastAsia="仿宋"/>
          <w:b w:val="0"/>
          <w:bCs w:val="0"/>
          <w:sz w:val="32"/>
          <w:szCs w:val="32"/>
        </w:rPr>
        <w:t>68</w:t>
      </w:r>
      <w:r>
        <w:rPr>
          <w:rFonts w:ascii="Times New Roman" w:hAnsi="Times New Roman"/>
          <w:b w:val="0"/>
          <w:bCs w:val="0"/>
          <w:sz w:val="32"/>
          <w:szCs w:val="32"/>
        </w:rPr>
        <w:t>家院企单位签订校企合作人才培养基地和校外实训基地协议</w:t>
      </w:r>
      <w:r>
        <w:rPr>
          <w:rFonts w:hint="eastAsia"/>
          <w:b w:val="0"/>
          <w:bCs w:val="0"/>
          <w:sz w:val="32"/>
          <w:szCs w:val="32"/>
          <w:lang w:eastAsia="zh-CN"/>
        </w:rPr>
        <w:t>。</w:t>
      </w:r>
      <w:r>
        <w:rPr>
          <w:rFonts w:eastAsia="仿宋"/>
          <w:b w:val="0"/>
          <w:bCs w:val="0"/>
          <w:sz w:val="32"/>
          <w:szCs w:val="32"/>
        </w:rPr>
        <w:t>2025</w:t>
      </w:r>
      <w:r>
        <w:rPr>
          <w:rFonts w:ascii="Times New Roman" w:hAnsi="Times New Roman"/>
          <w:b w:val="0"/>
          <w:bCs w:val="0"/>
          <w:sz w:val="32"/>
          <w:szCs w:val="32"/>
        </w:rPr>
        <w:t>年当选江西省中药材行业产教融合共同体常务理事单位、江西省医药行业产教融合共同体副理事长单位</w:t>
      </w:r>
      <w:bookmarkStart w:id="0" w:name="_GoBack"/>
      <w:r>
        <w:rPr>
          <w:rFonts w:hint="eastAsia"/>
          <w:b w:val="0"/>
          <w:bCs w:val="0"/>
          <w:sz w:val="32"/>
          <w:szCs w:val="32"/>
          <w:lang w:eastAsia="zh-CN"/>
        </w:rPr>
        <w:t>。</w:t>
      </w:r>
      <w:bookmarkEnd w:id="0"/>
      <w:r>
        <w:rPr>
          <w:rFonts w:ascii="Times New Roman" w:hAnsi="Times New Roman"/>
          <w:b w:val="0"/>
          <w:bCs w:val="0"/>
          <w:sz w:val="32"/>
          <w:szCs w:val="32"/>
        </w:rPr>
        <w:t>获批江西省省级工匠学院、中国能源化学地质系统工匠学院建设点。</w:t>
      </w:r>
    </w:p>
    <w:p w14:paraId="33CB2CEB">
      <w:pPr>
        <w:pStyle w:val="3"/>
      </w:pPr>
      <w:r>
        <w:rPr>
          <w:rFonts w:ascii="Times New Roman" w:hAnsi="Times New Roman"/>
          <w:sz w:val="32"/>
          <w:szCs w:val="32"/>
        </w:rPr>
        <w:t>（五）特色办学模式</w:t>
      </w:r>
    </w:p>
    <w:p w14:paraId="3F97310A">
      <w:pPr>
        <w:spacing w:before="0" w:after="0" w:line="560" w:lineRule="exact"/>
        <w:ind w:firstLine="640"/>
        <w:jc w:val="both"/>
      </w:pPr>
      <w:r>
        <w:rPr>
          <w:rFonts w:ascii="Times New Roman" w:hAnsi="Times New Roman"/>
          <w:b w:val="0"/>
          <w:bCs w:val="0"/>
          <w:sz w:val="32"/>
          <w:szCs w:val="32"/>
        </w:rPr>
        <w:t>学院构建“非遗传承＋职业教育＋产教融合”育人体系，将国家级非物质文化遗产——樟树中药炮制技艺（樟帮）系统融入专业教学，形成“药都资源—樟帮技艺—岗位能力”贯通的人才培养路径，走出一条差异化、特色化的办学道路。</w:t>
      </w:r>
    </w:p>
    <w:p w14:paraId="3149D1D7">
      <w:pPr>
        <w:pStyle w:val="2"/>
      </w:pPr>
      <w:r>
        <w:rPr>
          <w:rFonts w:ascii="Times New Roman" w:hAnsi="Times New Roman"/>
          <w:sz w:val="32"/>
          <w:szCs w:val="32"/>
        </w:rPr>
        <w:t>四、</w:t>
      </w:r>
      <w:r>
        <w:rPr>
          <w:rFonts w:eastAsia="黑体"/>
          <w:sz w:val="32"/>
          <w:szCs w:val="32"/>
        </w:rPr>
        <w:t>2027</w:t>
      </w:r>
      <w:r>
        <w:rPr>
          <w:rFonts w:ascii="Times New Roman" w:hAnsi="Times New Roman"/>
          <w:sz w:val="32"/>
          <w:szCs w:val="32"/>
        </w:rPr>
        <w:t>年单招招生专业培养体系说明</w:t>
      </w:r>
    </w:p>
    <w:p w14:paraId="39B97A48">
      <w:pPr>
        <w:spacing w:before="0" w:after="0" w:line="560" w:lineRule="exact"/>
        <w:ind w:firstLine="640"/>
        <w:jc w:val="both"/>
      </w:pPr>
      <w:r>
        <w:rPr>
          <w:rFonts w:ascii="Times New Roman" w:hAnsi="Times New Roman"/>
          <w:b w:val="0"/>
          <w:bCs w:val="0"/>
          <w:sz w:val="32"/>
          <w:szCs w:val="32"/>
        </w:rPr>
        <w:t>本板块设置招生专业体系专项讲解，具体讲解内容、配套资料由各二级学院与招生处承接。</w:t>
      </w:r>
      <w:r>
        <w:rPr>
          <w:rFonts w:eastAsia="仿宋"/>
          <w:b w:val="0"/>
          <w:bCs w:val="0"/>
          <w:sz w:val="32"/>
          <w:szCs w:val="32"/>
        </w:rPr>
        <w:t>2027</w:t>
      </w:r>
      <w:r>
        <w:rPr>
          <w:rFonts w:ascii="Times New Roman" w:hAnsi="Times New Roman"/>
          <w:b w:val="0"/>
          <w:bCs w:val="0"/>
          <w:sz w:val="32"/>
          <w:szCs w:val="32"/>
        </w:rPr>
        <w:t>年单招拟投放专业及招生计划以江西省教育厅批准和学院正式公布为准，宣讲核心分为两大模块：</w:t>
      </w:r>
    </w:p>
    <w:p w14:paraId="78E09268">
      <w:pPr>
        <w:pStyle w:val="3"/>
      </w:pPr>
      <w:r>
        <w:rPr>
          <w:rFonts w:ascii="Times New Roman" w:hAnsi="Times New Roman"/>
          <w:sz w:val="32"/>
          <w:szCs w:val="32"/>
        </w:rPr>
        <w:t>（一）现有成熟招生专业</w:t>
      </w:r>
    </w:p>
    <w:p w14:paraId="3F5490FD">
      <w:pPr>
        <w:spacing w:before="0" w:after="0" w:line="560" w:lineRule="exact"/>
        <w:ind w:firstLine="640"/>
        <w:jc w:val="both"/>
      </w:pPr>
      <w:r>
        <w:rPr>
          <w:rFonts w:ascii="Times New Roman" w:hAnsi="Times New Roman"/>
          <w:b w:val="0"/>
          <w:bCs w:val="0"/>
          <w:sz w:val="32"/>
          <w:szCs w:val="32"/>
        </w:rPr>
        <w:t>覆盖中药学、中药材生产与加工、中药制药、药品经营与管理、康复治疗技术、中医康复技术、护理等</w:t>
      </w:r>
      <w:r>
        <w:rPr>
          <w:rFonts w:eastAsia="仿宋"/>
          <w:b w:val="0"/>
          <w:bCs w:val="0"/>
          <w:sz w:val="32"/>
          <w:szCs w:val="32"/>
        </w:rPr>
        <w:t>7</w:t>
      </w:r>
      <w:r>
        <w:rPr>
          <w:rFonts w:ascii="Times New Roman" w:hAnsi="Times New Roman"/>
          <w:b w:val="0"/>
          <w:bCs w:val="0"/>
          <w:sz w:val="32"/>
          <w:szCs w:val="32"/>
        </w:rPr>
        <w:t>个核心专业，每个专业的讲解须包含培养目标、核心课程体系、实训教学条件、师资配置、行业适配性五大核心维度。</w:t>
      </w:r>
    </w:p>
    <w:p w14:paraId="4DC9A905">
      <w:pPr>
        <w:pStyle w:val="3"/>
      </w:pPr>
      <w:r>
        <w:rPr>
          <w:rFonts w:ascii="Times New Roman" w:hAnsi="Times New Roman"/>
          <w:sz w:val="32"/>
          <w:szCs w:val="32"/>
        </w:rPr>
        <w:t>（二）新增特色招生专业</w:t>
      </w:r>
    </w:p>
    <w:p w14:paraId="43A63EFD">
      <w:pPr>
        <w:spacing w:before="0" w:after="0" w:line="560" w:lineRule="exact"/>
        <w:ind w:firstLine="640"/>
        <w:jc w:val="both"/>
      </w:pPr>
      <w:r>
        <w:rPr>
          <w:rFonts w:ascii="Times New Roman" w:hAnsi="Times New Roman"/>
          <w:b w:val="0"/>
          <w:bCs w:val="0"/>
          <w:sz w:val="32"/>
          <w:szCs w:val="32"/>
        </w:rPr>
        <w:t>讲解药学、药品质量与安全、中医养生保健、无人机应用技术等新增专业，每个专业的讲解须包含开设背景、行业前景、培养特色、核心课程、就业方向五大核心维度。</w:t>
      </w:r>
    </w:p>
    <w:p w14:paraId="419622F4">
      <w:pPr>
        <w:pStyle w:val="3"/>
      </w:pPr>
      <w:r>
        <w:rPr>
          <w:rFonts w:ascii="Times New Roman" w:hAnsi="Times New Roman"/>
          <w:sz w:val="32"/>
          <w:szCs w:val="32"/>
        </w:rPr>
        <w:t>（三）专业大类与备考提示</w:t>
      </w:r>
    </w:p>
    <w:p w14:paraId="40F2EC3F">
      <w:pPr>
        <w:spacing w:before="0" w:after="0" w:line="560" w:lineRule="exact"/>
        <w:ind w:firstLine="640"/>
        <w:jc w:val="both"/>
      </w:pPr>
      <w:r>
        <w:rPr>
          <w:rFonts w:eastAsia="仿宋"/>
          <w:b w:val="0"/>
          <w:bCs w:val="0"/>
          <w:sz w:val="32"/>
          <w:szCs w:val="32"/>
        </w:rPr>
        <w:t>2027</w:t>
      </w:r>
      <w:r>
        <w:rPr>
          <w:rFonts w:ascii="Times New Roman" w:hAnsi="Times New Roman"/>
          <w:b w:val="0"/>
          <w:bCs w:val="0"/>
          <w:sz w:val="32"/>
          <w:szCs w:val="32"/>
        </w:rPr>
        <w:t>年职业技能考试实行全省统考，按</w:t>
      </w:r>
      <w:r>
        <w:rPr>
          <w:rFonts w:eastAsia="仿宋"/>
          <w:b w:val="0"/>
          <w:bCs w:val="0"/>
          <w:sz w:val="32"/>
          <w:szCs w:val="32"/>
        </w:rPr>
        <w:t>19</w:t>
      </w:r>
      <w:r>
        <w:rPr>
          <w:rFonts w:ascii="Times New Roman" w:hAnsi="Times New Roman"/>
          <w:b w:val="0"/>
          <w:bCs w:val="0"/>
          <w:sz w:val="32"/>
          <w:szCs w:val="32"/>
        </w:rPr>
        <w:t>个专业大类分类命题。学院招生专业绝大部分对应“医药卫生”大类，无人机应用技术等专业对应其他相关大类。宣讲时须提醒考生：职业技能统考不再由单所院校自主命题，考生应结合意向专业大类系统梳理考点，不能只针对单一院校备考。</w:t>
      </w:r>
    </w:p>
    <w:p w14:paraId="6F3CE9AA">
      <w:pPr>
        <w:pStyle w:val="2"/>
      </w:pPr>
      <w:r>
        <w:rPr>
          <w:rFonts w:ascii="Times New Roman" w:hAnsi="Times New Roman"/>
          <w:sz w:val="32"/>
          <w:szCs w:val="32"/>
        </w:rPr>
        <w:t>五、专升本升学培养项目全解析</w:t>
      </w:r>
    </w:p>
    <w:p w14:paraId="482870DE">
      <w:pPr>
        <w:spacing w:before="0" w:after="0" w:line="560" w:lineRule="exact"/>
        <w:ind w:firstLine="640"/>
        <w:jc w:val="both"/>
      </w:pPr>
      <w:r>
        <w:rPr>
          <w:rFonts w:ascii="Times New Roman" w:hAnsi="Times New Roman"/>
          <w:b w:val="0"/>
          <w:bCs w:val="0"/>
          <w:sz w:val="32"/>
          <w:szCs w:val="32"/>
        </w:rPr>
        <w:t>本板块设置专升本升学培养专项讲解，具体讲解内容、配套资料由教务处、继续教育学院承接，讲解核心覆盖三大模块：</w:t>
      </w:r>
    </w:p>
    <w:p w14:paraId="2D30397B">
      <w:pPr>
        <w:spacing w:before="0" w:after="0" w:line="560" w:lineRule="exact"/>
        <w:ind w:firstLine="640"/>
        <w:jc w:val="both"/>
      </w:pPr>
      <w:r>
        <w:rPr>
          <w:rFonts w:hint="eastAsia"/>
          <w:b w:val="0"/>
          <w:bCs w:val="0"/>
          <w:sz w:val="32"/>
          <w:szCs w:val="32"/>
          <w:lang w:eastAsia="zh-CN"/>
        </w:rPr>
        <w:t>1.</w:t>
      </w:r>
      <w:r>
        <w:rPr>
          <w:rFonts w:ascii="Times New Roman" w:hAnsi="Times New Roman"/>
          <w:b w:val="0"/>
          <w:bCs w:val="0"/>
          <w:sz w:val="32"/>
          <w:szCs w:val="32"/>
        </w:rPr>
        <w:t>核心升学通道与政策：江西省统招专升本的报考政策、考试要求、录取规则，以及自学考试、成人高考等补充学历提升渠道的核心说明；</w:t>
      </w:r>
    </w:p>
    <w:p w14:paraId="32B8E90C">
      <w:pPr>
        <w:spacing w:before="0" w:after="0" w:line="560" w:lineRule="exact"/>
        <w:ind w:firstLine="640"/>
        <w:jc w:val="both"/>
      </w:pPr>
      <w:r>
        <w:rPr>
          <w:rFonts w:hint="eastAsia"/>
          <w:b w:val="0"/>
          <w:bCs w:val="0"/>
          <w:sz w:val="32"/>
          <w:szCs w:val="32"/>
          <w:lang w:eastAsia="zh-CN"/>
        </w:rPr>
        <w:t>2.</w:t>
      </w:r>
      <w:r>
        <w:rPr>
          <w:rFonts w:ascii="Times New Roman" w:hAnsi="Times New Roman"/>
          <w:b w:val="0"/>
          <w:bCs w:val="0"/>
          <w:sz w:val="32"/>
          <w:szCs w:val="32"/>
        </w:rPr>
        <w:t>专升本专项培养体系：学院针对专升本开设的全周期培养规划、辅导课程设置、师资团队配置、配套教学保障与升学激励政策；</w:t>
      </w:r>
    </w:p>
    <w:p w14:paraId="59C99BBE">
      <w:pPr>
        <w:spacing w:before="0" w:after="0" w:line="560" w:lineRule="exact"/>
        <w:ind w:firstLine="640"/>
        <w:jc w:val="both"/>
      </w:pPr>
      <w:r>
        <w:rPr>
          <w:rFonts w:hint="eastAsia"/>
          <w:b w:val="0"/>
          <w:bCs w:val="0"/>
          <w:sz w:val="32"/>
          <w:szCs w:val="32"/>
          <w:lang w:eastAsia="zh-CN"/>
        </w:rPr>
        <w:t>3.</w:t>
      </w:r>
      <w:r>
        <w:rPr>
          <w:rFonts w:ascii="Times New Roman" w:hAnsi="Times New Roman"/>
          <w:b w:val="0"/>
          <w:bCs w:val="0"/>
          <w:sz w:val="32"/>
          <w:szCs w:val="32"/>
        </w:rPr>
        <w:t>合作院校与升学资源：合作本科院校名单、合作培养机制、历年升学成果、专业对口适配情况等核心内容。</w:t>
      </w:r>
    </w:p>
    <w:p w14:paraId="08FB43FE">
      <w:pPr>
        <w:pStyle w:val="2"/>
      </w:pPr>
      <w:r>
        <w:rPr>
          <w:rFonts w:ascii="Times New Roman" w:hAnsi="Times New Roman"/>
          <w:sz w:val="32"/>
          <w:szCs w:val="32"/>
        </w:rPr>
        <w:t>六、中医师承赋能与职业技能培训考证体系</w:t>
      </w:r>
    </w:p>
    <w:p w14:paraId="54D54CA0">
      <w:pPr>
        <w:spacing w:before="0" w:after="0" w:line="560" w:lineRule="exact"/>
        <w:ind w:firstLine="640"/>
        <w:jc w:val="both"/>
      </w:pPr>
      <w:r>
        <w:rPr>
          <w:rFonts w:ascii="Times New Roman" w:hAnsi="Times New Roman"/>
          <w:b w:val="0"/>
          <w:bCs w:val="0"/>
          <w:sz w:val="32"/>
          <w:szCs w:val="32"/>
        </w:rPr>
        <w:t>本板块设置中医师承与技能考证专项讲解，具体讲解内容、配套资料由继续教育学院承接，讲解核心覆盖两大模块：</w:t>
      </w:r>
    </w:p>
    <w:p w14:paraId="16BD38BD">
      <w:pPr>
        <w:spacing w:before="0" w:after="0" w:line="560" w:lineRule="exact"/>
        <w:ind w:firstLine="640"/>
        <w:jc w:val="both"/>
      </w:pPr>
      <w:r>
        <w:rPr>
          <w:rFonts w:hint="eastAsia"/>
          <w:b w:val="0"/>
          <w:bCs w:val="0"/>
          <w:sz w:val="32"/>
          <w:szCs w:val="32"/>
          <w:lang w:eastAsia="zh-CN"/>
        </w:rPr>
        <w:t>1.</w:t>
      </w:r>
      <w:r>
        <w:rPr>
          <w:rFonts w:ascii="Times New Roman" w:hAnsi="Times New Roman"/>
          <w:b w:val="0"/>
          <w:bCs w:val="0"/>
          <w:sz w:val="32"/>
          <w:szCs w:val="32"/>
        </w:rPr>
        <w:t>中医师承专项赋能体系：名老中医与樟帮非遗传承人师承班的跟师模式、培养内容、资质认证、行业发展优势，以及为学生后续考取执业医师、执业药师提供的配套支持；</w:t>
      </w:r>
    </w:p>
    <w:p w14:paraId="64EA94EF">
      <w:pPr>
        <w:spacing w:before="0" w:after="0" w:line="560" w:lineRule="exact"/>
        <w:ind w:firstLine="640"/>
        <w:jc w:val="both"/>
      </w:pPr>
      <w:r>
        <w:rPr>
          <w:rFonts w:hint="eastAsia"/>
          <w:b w:val="0"/>
          <w:bCs w:val="0"/>
          <w:sz w:val="32"/>
          <w:szCs w:val="32"/>
          <w:lang w:eastAsia="zh-CN"/>
        </w:rPr>
        <w:t>2.</w:t>
      </w:r>
      <w:r>
        <w:rPr>
          <w:rFonts w:ascii="Times New Roman" w:hAnsi="Times New Roman"/>
          <w:b w:val="0"/>
          <w:bCs w:val="0"/>
          <w:sz w:val="32"/>
          <w:szCs w:val="32"/>
        </w:rPr>
        <w:t>职业技能培训与考证服务体系：校内职业技能考点资质、可考取的行业刚需职业资格或技能等级证书范围、培训体系、考证服务流程，以及“毕业即持证、持证即上岗”的培养优势。</w:t>
      </w:r>
    </w:p>
    <w:p w14:paraId="0B5C7849">
      <w:pPr>
        <w:pStyle w:val="2"/>
      </w:pPr>
      <w:r>
        <w:rPr>
          <w:rFonts w:ascii="Times New Roman" w:hAnsi="Times New Roman"/>
          <w:sz w:val="32"/>
          <w:szCs w:val="32"/>
        </w:rPr>
        <w:t>七、实习就业保障体系与成果</w:t>
      </w:r>
    </w:p>
    <w:p w14:paraId="0BB9477F">
      <w:pPr>
        <w:spacing w:before="0" w:after="0" w:line="560" w:lineRule="exact"/>
        <w:ind w:firstLine="640"/>
        <w:jc w:val="both"/>
      </w:pPr>
      <w:r>
        <w:rPr>
          <w:rFonts w:ascii="Times New Roman" w:hAnsi="Times New Roman"/>
          <w:b w:val="0"/>
          <w:bCs w:val="0"/>
          <w:sz w:val="32"/>
          <w:szCs w:val="32"/>
        </w:rPr>
        <w:t>本板块设置实习就业保障专项讲解，具体讲解内容、配套资料由招生就业处承接，讲解核心覆盖三大模块：</w:t>
      </w:r>
    </w:p>
    <w:p w14:paraId="70C6C0F4">
      <w:pPr>
        <w:spacing w:before="0" w:after="0" w:line="560" w:lineRule="exact"/>
        <w:ind w:firstLine="640"/>
        <w:jc w:val="both"/>
      </w:pPr>
      <w:r>
        <w:rPr>
          <w:rFonts w:hint="eastAsia"/>
          <w:b w:val="0"/>
          <w:bCs w:val="0"/>
          <w:sz w:val="32"/>
          <w:szCs w:val="32"/>
          <w:lang w:eastAsia="zh-CN"/>
        </w:rPr>
        <w:t>1.</w:t>
      </w:r>
      <w:r>
        <w:rPr>
          <w:rFonts w:ascii="Times New Roman" w:hAnsi="Times New Roman"/>
          <w:b w:val="0"/>
          <w:bCs w:val="0"/>
          <w:sz w:val="32"/>
          <w:szCs w:val="32"/>
        </w:rPr>
        <w:t>校企合作核心资源：</w:t>
      </w:r>
      <w:r>
        <w:rPr>
          <w:rFonts w:eastAsia="仿宋"/>
          <w:b w:val="0"/>
          <w:bCs w:val="0"/>
          <w:sz w:val="32"/>
          <w:szCs w:val="32"/>
        </w:rPr>
        <w:t>68</w:t>
      </w:r>
      <w:r>
        <w:rPr>
          <w:rFonts w:ascii="Times New Roman" w:hAnsi="Times New Roman"/>
          <w:b w:val="0"/>
          <w:bCs w:val="0"/>
          <w:sz w:val="32"/>
          <w:szCs w:val="32"/>
        </w:rPr>
        <w:t>家合作院企名单、合作模式、校外实训基地建设情况、企业订单班培养机制与优势；</w:t>
      </w:r>
    </w:p>
    <w:p w14:paraId="3893651C">
      <w:pPr>
        <w:spacing w:before="0" w:after="0" w:line="560" w:lineRule="exact"/>
        <w:ind w:firstLine="640"/>
        <w:jc w:val="both"/>
      </w:pPr>
      <w:r>
        <w:rPr>
          <w:rFonts w:hint="eastAsia"/>
          <w:b w:val="0"/>
          <w:bCs w:val="0"/>
          <w:sz w:val="32"/>
          <w:szCs w:val="32"/>
          <w:lang w:eastAsia="zh-CN"/>
        </w:rPr>
        <w:t>2.</w:t>
      </w:r>
      <w:r>
        <w:rPr>
          <w:rFonts w:ascii="Times New Roman" w:hAnsi="Times New Roman"/>
          <w:b w:val="0"/>
          <w:bCs w:val="0"/>
          <w:sz w:val="32"/>
          <w:szCs w:val="32"/>
        </w:rPr>
        <w:t>全流程就业服务体系：职业生涯规划课程、就业能力专项培训、校园招聘渠道建设、一对一就业推荐、创业扶持等全流程服务内容；</w:t>
      </w:r>
    </w:p>
    <w:p w14:paraId="65AC872C">
      <w:pPr>
        <w:spacing w:before="0" w:after="0" w:line="560" w:lineRule="exact"/>
        <w:ind w:firstLine="640"/>
        <w:jc w:val="both"/>
      </w:pPr>
      <w:r>
        <w:rPr>
          <w:rFonts w:hint="eastAsia"/>
          <w:b w:val="0"/>
          <w:bCs w:val="0"/>
          <w:sz w:val="32"/>
          <w:szCs w:val="32"/>
          <w:lang w:eastAsia="zh-CN"/>
        </w:rPr>
        <w:t>3.</w:t>
      </w:r>
      <w:r>
        <w:rPr>
          <w:rFonts w:ascii="Times New Roman" w:hAnsi="Times New Roman"/>
          <w:b w:val="0"/>
          <w:bCs w:val="0"/>
          <w:sz w:val="32"/>
          <w:szCs w:val="32"/>
        </w:rPr>
        <w:t>毕业生就业成果与发展前景：专业对口率、核心就业去向、薪资水平。</w:t>
      </w:r>
    </w:p>
    <w:p w14:paraId="7F1ED8AD">
      <w:pPr>
        <w:pStyle w:val="2"/>
      </w:pPr>
      <w:r>
        <w:rPr>
          <w:rFonts w:ascii="Times New Roman" w:hAnsi="Times New Roman"/>
          <w:sz w:val="32"/>
          <w:szCs w:val="32"/>
        </w:rPr>
        <w:t>八、国际留学合作项目介绍</w:t>
      </w:r>
    </w:p>
    <w:p w14:paraId="273F6492">
      <w:pPr>
        <w:spacing w:before="0" w:after="0" w:line="560" w:lineRule="exact"/>
        <w:ind w:firstLine="640"/>
        <w:jc w:val="both"/>
      </w:pPr>
      <w:r>
        <w:rPr>
          <w:rFonts w:ascii="Times New Roman" w:hAnsi="Times New Roman"/>
          <w:b w:val="0"/>
          <w:bCs w:val="0"/>
          <w:sz w:val="32"/>
          <w:szCs w:val="32"/>
        </w:rPr>
        <w:t>本板块设置国际留学合作项目专项讲解，具体讲解内容、配套资料由国际交流中心承接，讲解核心覆盖三大模块：</w:t>
      </w:r>
    </w:p>
    <w:p w14:paraId="6171D8C0">
      <w:pPr>
        <w:spacing w:before="0" w:after="0" w:line="560" w:lineRule="exact"/>
        <w:ind w:firstLine="640"/>
        <w:jc w:val="both"/>
      </w:pPr>
      <w:r>
        <w:rPr>
          <w:rFonts w:hint="eastAsia"/>
          <w:b w:val="0"/>
          <w:bCs w:val="0"/>
          <w:sz w:val="32"/>
          <w:szCs w:val="32"/>
          <w:lang w:eastAsia="zh-CN"/>
        </w:rPr>
        <w:t>1.</w:t>
      </w:r>
      <w:r>
        <w:rPr>
          <w:rFonts w:ascii="Times New Roman" w:hAnsi="Times New Roman"/>
          <w:b w:val="0"/>
          <w:bCs w:val="0"/>
          <w:sz w:val="32"/>
          <w:szCs w:val="32"/>
        </w:rPr>
        <w:t>官方合作院校资质：合作海外高校的正规性说明、教育部涉外监管网备案情况、院校办学实力与专业优势；</w:t>
      </w:r>
    </w:p>
    <w:p w14:paraId="4E6090D0">
      <w:pPr>
        <w:spacing w:before="0" w:after="0" w:line="560" w:lineRule="exact"/>
        <w:ind w:firstLine="640"/>
        <w:jc w:val="both"/>
      </w:pPr>
      <w:r>
        <w:rPr>
          <w:rFonts w:hint="eastAsia"/>
          <w:b w:val="0"/>
          <w:bCs w:val="0"/>
          <w:sz w:val="32"/>
          <w:szCs w:val="32"/>
          <w:lang w:eastAsia="zh-CN"/>
        </w:rPr>
        <w:t>2.</w:t>
      </w:r>
      <w:r>
        <w:rPr>
          <w:rFonts w:ascii="Times New Roman" w:hAnsi="Times New Roman"/>
          <w:b w:val="0"/>
          <w:bCs w:val="0"/>
          <w:sz w:val="32"/>
          <w:szCs w:val="32"/>
        </w:rPr>
        <w:t>核心留学合作项目：</w:t>
      </w:r>
      <w:r>
        <w:rPr>
          <w:rFonts w:eastAsia="仿宋"/>
          <w:b w:val="0"/>
          <w:bCs w:val="0"/>
          <w:sz w:val="32"/>
          <w:szCs w:val="32"/>
        </w:rPr>
        <w:t>3</w:t>
      </w:r>
      <w:r>
        <w:rPr>
          <w:rFonts w:ascii="Times New Roman" w:hAnsi="Times New Roman"/>
          <w:b w:val="0"/>
          <w:bCs w:val="0"/>
          <w:sz w:val="32"/>
          <w:szCs w:val="32"/>
        </w:rPr>
        <w:t>＋</w:t>
      </w:r>
      <w:r>
        <w:rPr>
          <w:rFonts w:eastAsia="仿宋"/>
          <w:b w:val="0"/>
          <w:bCs w:val="0"/>
          <w:sz w:val="32"/>
          <w:szCs w:val="32"/>
        </w:rPr>
        <w:t>1</w:t>
      </w:r>
      <w:r>
        <w:rPr>
          <w:rFonts w:ascii="Times New Roman" w:hAnsi="Times New Roman"/>
          <w:b w:val="0"/>
          <w:bCs w:val="0"/>
          <w:sz w:val="32"/>
          <w:szCs w:val="32"/>
        </w:rPr>
        <w:t>专升硕、</w:t>
      </w:r>
      <w:r>
        <w:rPr>
          <w:rFonts w:eastAsia="仿宋"/>
          <w:b w:val="0"/>
          <w:bCs w:val="0"/>
          <w:sz w:val="32"/>
          <w:szCs w:val="32"/>
        </w:rPr>
        <w:t>3</w:t>
      </w:r>
      <w:r>
        <w:rPr>
          <w:rFonts w:ascii="Times New Roman" w:hAnsi="Times New Roman"/>
          <w:b w:val="0"/>
          <w:bCs w:val="0"/>
          <w:sz w:val="32"/>
          <w:szCs w:val="32"/>
        </w:rPr>
        <w:t>＋</w:t>
      </w:r>
      <w:r>
        <w:rPr>
          <w:rFonts w:eastAsia="仿宋"/>
          <w:b w:val="0"/>
          <w:bCs w:val="0"/>
          <w:sz w:val="32"/>
          <w:szCs w:val="32"/>
        </w:rPr>
        <w:t>1</w:t>
      </w:r>
      <w:r>
        <w:rPr>
          <w:rFonts w:ascii="Times New Roman" w:hAnsi="Times New Roman"/>
          <w:b w:val="0"/>
          <w:bCs w:val="0"/>
          <w:sz w:val="32"/>
          <w:szCs w:val="32"/>
        </w:rPr>
        <w:t>专升本联合培养等核心项目的培养模式、学制设置、学分互认规则、申请要求；</w:t>
      </w:r>
    </w:p>
    <w:p w14:paraId="6B7E8311">
      <w:pPr>
        <w:spacing w:before="0" w:after="0" w:line="560" w:lineRule="exact"/>
        <w:ind w:firstLine="640"/>
        <w:jc w:val="both"/>
      </w:pPr>
      <w:r>
        <w:rPr>
          <w:rFonts w:hint="eastAsia"/>
          <w:b w:val="0"/>
          <w:bCs w:val="0"/>
          <w:sz w:val="32"/>
          <w:szCs w:val="32"/>
          <w:lang w:eastAsia="zh-CN"/>
        </w:rPr>
        <w:t>3.</w:t>
      </w:r>
      <w:r>
        <w:rPr>
          <w:rFonts w:ascii="Times New Roman" w:hAnsi="Times New Roman"/>
          <w:b w:val="0"/>
          <w:bCs w:val="0"/>
          <w:sz w:val="32"/>
          <w:szCs w:val="32"/>
        </w:rPr>
        <w:t>留学全流程保障服务：语言培训、申请指导、签证办理、行前培训、境外学习生活保障等配套服务内容，以及留学生归国相关优惠政策说明。</w:t>
      </w:r>
    </w:p>
    <w:p w14:paraId="419A92E7">
      <w:pPr>
        <w:pStyle w:val="2"/>
      </w:pPr>
      <w:r>
        <w:rPr>
          <w:rFonts w:ascii="Times New Roman" w:hAnsi="Times New Roman"/>
          <w:sz w:val="32"/>
          <w:szCs w:val="32"/>
        </w:rPr>
        <w:t>九、中医药特色产业研发与文创产品项目介绍</w:t>
      </w:r>
    </w:p>
    <w:p w14:paraId="67411E49">
      <w:pPr>
        <w:spacing w:before="0" w:after="0" w:line="560" w:lineRule="exact"/>
        <w:ind w:firstLine="640"/>
        <w:jc w:val="both"/>
      </w:pPr>
      <w:r>
        <w:rPr>
          <w:rFonts w:ascii="Times New Roman" w:hAnsi="Times New Roman"/>
          <w:b w:val="0"/>
          <w:bCs w:val="0"/>
          <w:sz w:val="32"/>
          <w:szCs w:val="32"/>
        </w:rPr>
        <w:t>本板块设置中医药特色产业研发与文创产品项目专项讲解，具体讲解内容、配套资料由学院产业研发中心承接，依托樟树药都道地药材资源，深度践行产教融合、工学一体办学特色，全方位展现学院中医药成果转化实力，讲解核心覆盖以下内容：</w:t>
      </w:r>
    </w:p>
    <w:p w14:paraId="478CACA9">
      <w:pPr>
        <w:spacing w:before="0" w:after="0" w:line="560" w:lineRule="exact"/>
        <w:ind w:firstLine="640"/>
        <w:jc w:val="both"/>
      </w:pPr>
      <w:r>
        <w:rPr>
          <w:rFonts w:ascii="Times New Roman" w:hAnsi="Times New Roman"/>
          <w:b w:val="0"/>
          <w:bCs w:val="0"/>
          <w:sz w:val="32"/>
          <w:szCs w:val="32"/>
        </w:rPr>
        <w:t>核心平台优势：建成标准化中药研发实训车间，专业师资全程带队，打通道地药材提取、制剂研发、成品检测、市场落地全产业链条，同步对接校内专业教学，让学生深度参与真实产品项目实操实训。</w:t>
      </w:r>
    </w:p>
    <w:p w14:paraId="502CF945">
      <w:pPr>
        <w:spacing w:before="0" w:after="0" w:line="560" w:lineRule="exact"/>
        <w:ind w:firstLine="640"/>
        <w:jc w:val="both"/>
      </w:pPr>
      <w:r>
        <w:rPr>
          <w:rFonts w:ascii="Times New Roman" w:hAnsi="Times New Roman"/>
          <w:b w:val="0"/>
          <w:bCs w:val="0"/>
          <w:sz w:val="32"/>
          <w:szCs w:val="32"/>
        </w:rPr>
        <w:t>四大特色爆款产品：</w:t>
      </w:r>
    </w:p>
    <w:p w14:paraId="71BD812D">
      <w:pPr>
        <w:spacing w:before="0" w:after="0" w:line="560" w:lineRule="exact"/>
        <w:ind w:firstLine="640"/>
        <w:jc w:val="both"/>
      </w:pPr>
      <w:r>
        <w:rPr>
          <w:rFonts w:hint="eastAsia"/>
          <w:b w:val="0"/>
          <w:bCs w:val="0"/>
          <w:sz w:val="32"/>
          <w:szCs w:val="32"/>
          <w:lang w:eastAsia="zh-CN"/>
        </w:rPr>
        <w:t>1.</w:t>
      </w:r>
      <w:r>
        <w:rPr>
          <w:rFonts w:ascii="Times New Roman" w:hAnsi="Times New Roman"/>
          <w:b w:val="0"/>
          <w:bCs w:val="0"/>
          <w:sz w:val="32"/>
          <w:szCs w:val="32"/>
        </w:rPr>
        <w:t>中药洗护皂：道地草本配方，控油防脱、温和养肤，适配头皮养护全需求；</w:t>
      </w:r>
    </w:p>
    <w:p w14:paraId="469003AE">
      <w:pPr>
        <w:spacing w:before="0" w:after="0" w:line="560" w:lineRule="exact"/>
        <w:ind w:firstLine="640"/>
        <w:jc w:val="both"/>
      </w:pPr>
      <w:r>
        <w:rPr>
          <w:rFonts w:hint="eastAsia"/>
          <w:b w:val="0"/>
          <w:bCs w:val="0"/>
          <w:sz w:val="32"/>
          <w:szCs w:val="32"/>
          <w:lang w:eastAsia="zh-CN"/>
        </w:rPr>
        <w:t>2.</w:t>
      </w:r>
      <w:r>
        <w:rPr>
          <w:rFonts w:ascii="Times New Roman" w:hAnsi="Times New Roman"/>
          <w:b w:val="0"/>
          <w:bCs w:val="0"/>
          <w:sz w:val="32"/>
          <w:szCs w:val="32"/>
        </w:rPr>
        <w:t>草本沐浴皂：古法药浴理念，清洁润肤、舒缓止痒，天然无刺激；</w:t>
      </w:r>
    </w:p>
    <w:p w14:paraId="36AF9C21">
      <w:pPr>
        <w:spacing w:before="0" w:after="0" w:line="560" w:lineRule="exact"/>
        <w:ind w:firstLine="640"/>
        <w:jc w:val="both"/>
      </w:pPr>
      <w:r>
        <w:rPr>
          <w:rFonts w:hint="eastAsia"/>
          <w:b w:val="0"/>
          <w:bCs w:val="0"/>
          <w:sz w:val="32"/>
          <w:szCs w:val="32"/>
          <w:lang w:eastAsia="zh-CN"/>
        </w:rPr>
        <w:t>3.</w:t>
      </w:r>
      <w:r>
        <w:rPr>
          <w:rFonts w:ascii="Times New Roman" w:hAnsi="Times New Roman"/>
          <w:b w:val="0"/>
          <w:bCs w:val="0"/>
          <w:sz w:val="32"/>
          <w:szCs w:val="32"/>
        </w:rPr>
        <w:t>养生润唇膏：中药植萃保湿修护，舒缓唇炎、长效锁水；</w:t>
      </w:r>
    </w:p>
    <w:p w14:paraId="38E79164">
      <w:pPr>
        <w:spacing w:before="0" w:after="0" w:line="560" w:lineRule="exact"/>
        <w:ind w:firstLine="640"/>
        <w:jc w:val="both"/>
      </w:pPr>
      <w:r>
        <w:rPr>
          <w:rFonts w:hint="eastAsia"/>
          <w:b w:val="0"/>
          <w:bCs w:val="0"/>
          <w:sz w:val="32"/>
          <w:szCs w:val="32"/>
          <w:lang w:eastAsia="zh-CN"/>
        </w:rPr>
        <w:t>4.</w:t>
      </w:r>
      <w:r>
        <w:rPr>
          <w:rFonts w:ascii="Times New Roman" w:hAnsi="Times New Roman"/>
          <w:b w:val="0"/>
          <w:bCs w:val="0"/>
          <w:sz w:val="32"/>
          <w:szCs w:val="32"/>
        </w:rPr>
        <w:t>国风养生香囊：甄选芳香道地药材，安神助眠、驱蚊防疫、国风便携。</w:t>
      </w:r>
    </w:p>
    <w:p w14:paraId="679D9AA3">
      <w:pPr>
        <w:pStyle w:val="2"/>
      </w:pPr>
      <w:r>
        <w:rPr>
          <w:rFonts w:ascii="Times New Roman" w:hAnsi="Times New Roman"/>
          <w:sz w:val="32"/>
          <w:szCs w:val="32"/>
        </w:rPr>
        <w:t>十、特邀院校优秀招生宣传经验借鉴分享会</w:t>
      </w:r>
    </w:p>
    <w:p w14:paraId="2914D122">
      <w:pPr>
        <w:spacing w:before="0" w:after="0" w:line="560" w:lineRule="exact"/>
        <w:ind w:firstLine="640"/>
        <w:jc w:val="both"/>
      </w:pPr>
      <w:r>
        <w:rPr>
          <w:rFonts w:ascii="Times New Roman" w:hAnsi="Times New Roman"/>
          <w:b w:val="0"/>
          <w:bCs w:val="0"/>
          <w:sz w:val="32"/>
          <w:szCs w:val="32"/>
        </w:rPr>
        <w:t>重点邀请江西省内医药类、综合类高职院校拥有</w:t>
      </w:r>
      <w:r>
        <w:rPr>
          <w:rFonts w:eastAsia="仿宋"/>
          <w:b w:val="0"/>
          <w:bCs w:val="0"/>
          <w:sz w:val="32"/>
          <w:szCs w:val="32"/>
        </w:rPr>
        <w:t>5</w:t>
      </w:r>
      <w:r>
        <w:rPr>
          <w:rFonts w:ascii="Times New Roman" w:hAnsi="Times New Roman"/>
          <w:b w:val="0"/>
          <w:bCs w:val="0"/>
          <w:sz w:val="32"/>
          <w:szCs w:val="32"/>
        </w:rPr>
        <w:t>年以上一线招生工作经验的招生负责人、资深招生骨干，优先选择在高职单招批次生源对接、志愿填报指导、考生家长沟通、招生转化实战方面有突出成果的行业资深从业者进行分享讲座，重点分享平行志愿新规下的生源组织与志愿指导经验。</w:t>
      </w:r>
    </w:p>
    <w:p w14:paraId="7DDA0D7E">
      <w:pPr>
        <w:pStyle w:val="2"/>
      </w:pPr>
      <w:r>
        <w:rPr>
          <w:rFonts w:ascii="Times New Roman" w:hAnsi="Times New Roman"/>
          <w:sz w:val="32"/>
          <w:szCs w:val="32"/>
        </w:rPr>
        <w:t>十一、</w:t>
      </w:r>
      <w:r>
        <w:rPr>
          <w:rFonts w:eastAsia="黑体"/>
          <w:sz w:val="32"/>
          <w:szCs w:val="32"/>
        </w:rPr>
        <w:t>2027</w:t>
      </w:r>
      <w:r>
        <w:rPr>
          <w:rFonts w:ascii="Times New Roman" w:hAnsi="Times New Roman"/>
          <w:sz w:val="32"/>
          <w:szCs w:val="32"/>
        </w:rPr>
        <w:t>年江西省高职单招政策核心要点</w:t>
      </w:r>
    </w:p>
    <w:p w14:paraId="6CE9AE3C">
      <w:pPr>
        <w:spacing w:before="0" w:after="0" w:line="560" w:lineRule="exact"/>
        <w:ind w:firstLine="640"/>
        <w:jc w:val="both"/>
      </w:pPr>
      <w:r>
        <w:rPr>
          <w:rFonts w:ascii="Times New Roman" w:hAnsi="Times New Roman"/>
          <w:b w:val="0"/>
          <w:bCs w:val="0"/>
          <w:sz w:val="32"/>
          <w:szCs w:val="32"/>
        </w:rPr>
        <w:t>本板块设置高职单招政策专项讲解，具体讲解内容、官方口径由招生处全权承接，讲解核心覆盖以下模块：</w:t>
      </w:r>
    </w:p>
    <w:p w14:paraId="03EC6555">
      <w:pPr>
        <w:pStyle w:val="3"/>
      </w:pPr>
      <w:r>
        <w:rPr>
          <w:rFonts w:ascii="Times New Roman" w:hAnsi="Times New Roman"/>
          <w:sz w:val="32"/>
          <w:szCs w:val="32"/>
        </w:rPr>
        <w:t>（一）政策背景与改革定位</w:t>
      </w:r>
    </w:p>
    <w:p w14:paraId="338AF2F3">
      <w:pPr>
        <w:spacing w:before="0" w:after="0" w:line="560" w:lineRule="exact"/>
        <w:ind w:firstLine="640"/>
        <w:jc w:val="both"/>
      </w:pPr>
      <w:r>
        <w:rPr>
          <w:rFonts w:ascii="Times New Roman" w:hAnsi="Times New Roman"/>
          <w:b w:val="0"/>
          <w:bCs w:val="0"/>
          <w:sz w:val="32"/>
          <w:szCs w:val="32"/>
        </w:rPr>
        <w:t>依据《江西省职教高考实施方案》，我省设置</w:t>
      </w:r>
      <w:r>
        <w:rPr>
          <w:rFonts w:eastAsia="仿宋"/>
          <w:b w:val="0"/>
          <w:bCs w:val="0"/>
          <w:sz w:val="32"/>
          <w:szCs w:val="32"/>
        </w:rPr>
        <w:t>2025—2027</w:t>
      </w:r>
      <w:r>
        <w:rPr>
          <w:rFonts w:ascii="Times New Roman" w:hAnsi="Times New Roman"/>
          <w:b w:val="0"/>
          <w:bCs w:val="0"/>
          <w:sz w:val="32"/>
          <w:szCs w:val="32"/>
        </w:rPr>
        <w:t>年三年改革过渡期。《方案》明确：</w:t>
      </w:r>
      <w:r>
        <w:rPr>
          <w:rFonts w:eastAsia="仿宋"/>
          <w:b w:val="0"/>
          <w:bCs w:val="0"/>
          <w:sz w:val="32"/>
          <w:szCs w:val="32"/>
        </w:rPr>
        <w:t>2025—2026</w:t>
      </w:r>
      <w:r>
        <w:rPr>
          <w:rFonts w:ascii="Times New Roman" w:hAnsi="Times New Roman"/>
          <w:b w:val="0"/>
          <w:bCs w:val="0"/>
          <w:sz w:val="32"/>
          <w:szCs w:val="32"/>
        </w:rPr>
        <w:t>年，高职单招文化素质考试实行省级统考，职业技能考试由招生学校组织；</w:t>
      </w:r>
      <w:r>
        <w:rPr>
          <w:rFonts w:eastAsia="仿宋"/>
          <w:b w:val="0"/>
          <w:bCs w:val="0"/>
          <w:sz w:val="32"/>
          <w:szCs w:val="32"/>
        </w:rPr>
        <w:t>2027</w:t>
      </w:r>
      <w:r>
        <w:rPr>
          <w:rFonts w:ascii="Times New Roman" w:hAnsi="Times New Roman"/>
          <w:b w:val="0"/>
          <w:bCs w:val="0"/>
          <w:sz w:val="32"/>
          <w:szCs w:val="32"/>
        </w:rPr>
        <w:t>年，在文化素质考试省级统考的基础上，实行职业技能考试省级统考；</w:t>
      </w:r>
      <w:r>
        <w:rPr>
          <w:rFonts w:eastAsia="仿宋"/>
          <w:b w:val="0"/>
          <w:bCs w:val="0"/>
          <w:sz w:val="32"/>
          <w:szCs w:val="32"/>
        </w:rPr>
        <w:t>2025—2027</w:t>
      </w:r>
      <w:r>
        <w:rPr>
          <w:rFonts w:ascii="Times New Roman" w:hAnsi="Times New Roman"/>
          <w:b w:val="0"/>
          <w:bCs w:val="0"/>
          <w:sz w:val="32"/>
          <w:szCs w:val="32"/>
        </w:rPr>
        <w:t>年高职单招各科目分数不变，继续保留三校生对口升学考试；</w:t>
      </w:r>
      <w:r>
        <w:rPr>
          <w:rFonts w:eastAsia="仿宋"/>
          <w:b w:val="0"/>
          <w:bCs w:val="0"/>
          <w:sz w:val="32"/>
          <w:szCs w:val="32"/>
        </w:rPr>
        <w:t>2028</w:t>
      </w:r>
      <w:r>
        <w:rPr>
          <w:rFonts w:ascii="Times New Roman" w:hAnsi="Times New Roman"/>
          <w:b w:val="0"/>
          <w:bCs w:val="0"/>
          <w:sz w:val="32"/>
          <w:szCs w:val="32"/>
        </w:rPr>
        <w:t>年起正式实施职教高考，不再举行高职单招和三校生对口升学考试。</w:t>
      </w:r>
      <w:r>
        <w:rPr>
          <w:rFonts w:eastAsia="仿宋"/>
          <w:b w:val="0"/>
          <w:bCs w:val="0"/>
          <w:sz w:val="32"/>
          <w:szCs w:val="32"/>
        </w:rPr>
        <w:t>2027</w:t>
      </w:r>
      <w:r>
        <w:rPr>
          <w:rFonts w:ascii="Times New Roman" w:hAnsi="Times New Roman"/>
          <w:b w:val="0"/>
          <w:bCs w:val="0"/>
          <w:sz w:val="32"/>
          <w:szCs w:val="32"/>
        </w:rPr>
        <w:t>年因此成为我省高职单招的收官批次，也是考生升学的重要政策窗口期。</w:t>
      </w:r>
    </w:p>
    <w:p w14:paraId="19224FA9">
      <w:pPr>
        <w:pStyle w:val="3"/>
      </w:pPr>
      <w:r>
        <w:rPr>
          <w:rFonts w:ascii="Times New Roman" w:hAnsi="Times New Roman"/>
          <w:sz w:val="32"/>
          <w:szCs w:val="32"/>
        </w:rPr>
        <w:t>（二）招生对象与报考条件</w:t>
      </w:r>
    </w:p>
    <w:p w14:paraId="74857479">
      <w:pPr>
        <w:spacing w:before="0" w:after="0" w:line="560" w:lineRule="exact"/>
        <w:ind w:firstLine="640"/>
        <w:jc w:val="both"/>
      </w:pPr>
      <w:r>
        <w:rPr>
          <w:rFonts w:eastAsia="仿宋"/>
          <w:b w:val="0"/>
          <w:bCs w:val="0"/>
          <w:sz w:val="32"/>
          <w:szCs w:val="32"/>
        </w:rPr>
        <w:t>1</w:t>
      </w:r>
      <w:r>
        <w:rPr>
          <w:rFonts w:ascii="Times New Roman" w:hAnsi="Times New Roman"/>
          <w:b w:val="0"/>
          <w:bCs w:val="0"/>
          <w:sz w:val="32"/>
          <w:szCs w:val="32"/>
        </w:rPr>
        <w:t>．报考对象：已完成江西省</w:t>
      </w:r>
      <w:r>
        <w:rPr>
          <w:rFonts w:eastAsia="仿宋"/>
          <w:b w:val="0"/>
          <w:bCs w:val="0"/>
          <w:sz w:val="32"/>
          <w:szCs w:val="32"/>
        </w:rPr>
        <w:t>2027</w:t>
      </w:r>
      <w:r>
        <w:rPr>
          <w:rFonts w:ascii="Times New Roman" w:hAnsi="Times New Roman"/>
          <w:b w:val="0"/>
          <w:bCs w:val="0"/>
          <w:sz w:val="32"/>
          <w:szCs w:val="32"/>
        </w:rPr>
        <w:t>年普通高考报名的考生均可报考，包括普通高中应往届毕业生、中等职业学校（含普通中专、职业高中、技工学校）应往届毕业生以及符合条件的社会考生。</w:t>
      </w:r>
    </w:p>
    <w:p w14:paraId="5D951F8A">
      <w:pPr>
        <w:spacing w:before="0" w:after="0" w:line="560" w:lineRule="exact"/>
        <w:ind w:firstLine="640"/>
        <w:jc w:val="both"/>
      </w:pPr>
      <w:r>
        <w:rPr>
          <w:rFonts w:eastAsia="仿宋"/>
          <w:b w:val="0"/>
          <w:bCs w:val="0"/>
          <w:sz w:val="32"/>
          <w:szCs w:val="32"/>
        </w:rPr>
        <w:t>2</w:t>
      </w:r>
      <w:r>
        <w:rPr>
          <w:rFonts w:ascii="Times New Roman" w:hAnsi="Times New Roman"/>
          <w:b w:val="0"/>
          <w:bCs w:val="0"/>
          <w:sz w:val="32"/>
          <w:szCs w:val="32"/>
        </w:rPr>
        <w:t>．前置条件：</w:t>
      </w:r>
      <w:r>
        <w:rPr>
          <w:rFonts w:eastAsia="仿宋"/>
          <w:b w:val="0"/>
          <w:bCs w:val="0"/>
          <w:sz w:val="32"/>
          <w:szCs w:val="32"/>
        </w:rPr>
        <w:t>2027</w:t>
      </w:r>
      <w:r>
        <w:rPr>
          <w:rFonts w:ascii="Times New Roman" w:hAnsi="Times New Roman"/>
          <w:b w:val="0"/>
          <w:bCs w:val="0"/>
          <w:sz w:val="32"/>
          <w:szCs w:val="32"/>
        </w:rPr>
        <w:t>年普通高考网上报名时间为</w:t>
      </w:r>
      <w:r>
        <w:rPr>
          <w:rFonts w:eastAsia="仿宋"/>
          <w:b w:val="0"/>
          <w:bCs w:val="0"/>
          <w:sz w:val="32"/>
          <w:szCs w:val="32"/>
        </w:rPr>
        <w:t>2026</w:t>
      </w:r>
      <w:r>
        <w:rPr>
          <w:rFonts w:ascii="Times New Roman" w:hAnsi="Times New Roman"/>
          <w:b w:val="0"/>
          <w:bCs w:val="0"/>
          <w:sz w:val="32"/>
          <w:szCs w:val="32"/>
        </w:rPr>
        <w:t>年</w:t>
      </w:r>
      <w:r>
        <w:rPr>
          <w:rFonts w:eastAsia="仿宋"/>
          <w:b w:val="0"/>
          <w:bCs w:val="0"/>
          <w:sz w:val="32"/>
          <w:szCs w:val="32"/>
        </w:rPr>
        <w:t>10</w:t>
      </w:r>
      <w:r>
        <w:rPr>
          <w:rFonts w:ascii="Times New Roman" w:hAnsi="Times New Roman"/>
          <w:b w:val="0"/>
          <w:bCs w:val="0"/>
          <w:sz w:val="32"/>
          <w:szCs w:val="32"/>
        </w:rPr>
        <w:t>月</w:t>
      </w:r>
      <w:r>
        <w:rPr>
          <w:rFonts w:eastAsia="仿宋"/>
          <w:b w:val="0"/>
          <w:bCs w:val="0"/>
          <w:sz w:val="32"/>
          <w:szCs w:val="32"/>
        </w:rPr>
        <w:t>15</w:t>
      </w:r>
      <w:r>
        <w:rPr>
          <w:rFonts w:ascii="Times New Roman" w:hAnsi="Times New Roman"/>
          <w:b w:val="0"/>
          <w:bCs w:val="0"/>
          <w:sz w:val="32"/>
          <w:szCs w:val="32"/>
        </w:rPr>
        <w:t>日</w:t>
      </w:r>
      <w:r>
        <w:rPr>
          <w:rFonts w:eastAsia="仿宋"/>
          <w:b w:val="0"/>
          <w:bCs w:val="0"/>
          <w:sz w:val="32"/>
          <w:szCs w:val="32"/>
        </w:rPr>
        <w:t>9:00—21</w:t>
      </w:r>
      <w:r>
        <w:rPr>
          <w:rFonts w:ascii="Times New Roman" w:hAnsi="Times New Roman"/>
          <w:b w:val="0"/>
          <w:bCs w:val="0"/>
          <w:sz w:val="32"/>
          <w:szCs w:val="32"/>
        </w:rPr>
        <w:t>日</w:t>
      </w:r>
      <w:r>
        <w:rPr>
          <w:rFonts w:eastAsia="仿宋"/>
          <w:b w:val="0"/>
          <w:bCs w:val="0"/>
          <w:sz w:val="32"/>
          <w:szCs w:val="32"/>
        </w:rPr>
        <w:t>17:00</w:t>
      </w:r>
      <w:r>
        <w:rPr>
          <w:rFonts w:ascii="Times New Roman" w:hAnsi="Times New Roman"/>
          <w:b w:val="0"/>
          <w:bCs w:val="0"/>
          <w:sz w:val="32"/>
          <w:szCs w:val="32"/>
        </w:rPr>
        <w:t>，网上缴费须于</w:t>
      </w:r>
      <w:r>
        <w:rPr>
          <w:rFonts w:eastAsia="仿宋"/>
          <w:b w:val="0"/>
          <w:bCs w:val="0"/>
          <w:sz w:val="32"/>
          <w:szCs w:val="32"/>
        </w:rPr>
        <w:t>2026</w:t>
      </w:r>
      <w:r>
        <w:rPr>
          <w:rFonts w:ascii="Times New Roman" w:hAnsi="Times New Roman"/>
          <w:b w:val="0"/>
          <w:bCs w:val="0"/>
          <w:sz w:val="32"/>
          <w:szCs w:val="32"/>
        </w:rPr>
        <w:t>年</w:t>
      </w:r>
      <w:r>
        <w:rPr>
          <w:rFonts w:eastAsia="仿宋"/>
          <w:b w:val="0"/>
          <w:bCs w:val="0"/>
          <w:sz w:val="32"/>
          <w:szCs w:val="32"/>
        </w:rPr>
        <w:t>10</w:t>
      </w:r>
      <w:r>
        <w:rPr>
          <w:rFonts w:ascii="Times New Roman" w:hAnsi="Times New Roman"/>
          <w:b w:val="0"/>
          <w:bCs w:val="0"/>
          <w:sz w:val="32"/>
          <w:szCs w:val="32"/>
        </w:rPr>
        <w:t>月</w:t>
      </w:r>
      <w:r>
        <w:rPr>
          <w:rFonts w:eastAsia="仿宋"/>
          <w:b w:val="0"/>
          <w:bCs w:val="0"/>
          <w:sz w:val="32"/>
          <w:szCs w:val="32"/>
        </w:rPr>
        <w:t>27</w:t>
      </w:r>
      <w:r>
        <w:rPr>
          <w:rFonts w:ascii="Times New Roman" w:hAnsi="Times New Roman"/>
          <w:b w:val="0"/>
          <w:bCs w:val="0"/>
          <w:sz w:val="32"/>
          <w:szCs w:val="32"/>
        </w:rPr>
        <w:t>日前完成，逾期视为放弃报考资格；符合条件的漏报考生，可于</w:t>
      </w:r>
      <w:r>
        <w:rPr>
          <w:rFonts w:eastAsia="仿宋"/>
          <w:b w:val="0"/>
          <w:bCs w:val="0"/>
          <w:sz w:val="32"/>
          <w:szCs w:val="32"/>
        </w:rPr>
        <w:t>2027</w:t>
      </w:r>
      <w:r>
        <w:rPr>
          <w:rFonts w:ascii="Times New Roman" w:hAnsi="Times New Roman"/>
          <w:b w:val="0"/>
          <w:bCs w:val="0"/>
          <w:sz w:val="32"/>
          <w:szCs w:val="32"/>
        </w:rPr>
        <w:t>年</w:t>
      </w:r>
      <w:r>
        <w:rPr>
          <w:rFonts w:eastAsia="仿宋"/>
          <w:b w:val="0"/>
          <w:bCs w:val="0"/>
          <w:sz w:val="32"/>
          <w:szCs w:val="32"/>
        </w:rPr>
        <w:t>2</w:t>
      </w:r>
      <w:r>
        <w:rPr>
          <w:rFonts w:ascii="Times New Roman" w:hAnsi="Times New Roman"/>
          <w:b w:val="0"/>
          <w:bCs w:val="0"/>
          <w:sz w:val="32"/>
          <w:szCs w:val="32"/>
        </w:rPr>
        <w:t>月</w:t>
      </w:r>
      <w:r>
        <w:rPr>
          <w:rFonts w:eastAsia="仿宋"/>
          <w:b w:val="0"/>
          <w:bCs w:val="0"/>
          <w:sz w:val="32"/>
          <w:szCs w:val="32"/>
        </w:rPr>
        <w:t>23</w:t>
      </w:r>
      <w:r>
        <w:rPr>
          <w:rFonts w:ascii="Times New Roman" w:hAnsi="Times New Roman"/>
          <w:b w:val="0"/>
          <w:bCs w:val="0"/>
          <w:sz w:val="32"/>
          <w:szCs w:val="32"/>
        </w:rPr>
        <w:t>日</w:t>
      </w:r>
      <w:r>
        <w:rPr>
          <w:rFonts w:eastAsia="仿宋"/>
          <w:b w:val="0"/>
          <w:bCs w:val="0"/>
          <w:sz w:val="32"/>
          <w:szCs w:val="32"/>
        </w:rPr>
        <w:t>9:00—25</w:t>
      </w:r>
      <w:r>
        <w:rPr>
          <w:rFonts w:ascii="Times New Roman" w:hAnsi="Times New Roman"/>
          <w:b w:val="0"/>
          <w:bCs w:val="0"/>
          <w:sz w:val="32"/>
          <w:szCs w:val="32"/>
        </w:rPr>
        <w:t>日</w:t>
      </w:r>
      <w:r>
        <w:rPr>
          <w:rFonts w:eastAsia="仿宋"/>
          <w:b w:val="0"/>
          <w:bCs w:val="0"/>
          <w:sz w:val="32"/>
          <w:szCs w:val="32"/>
        </w:rPr>
        <w:t>17:00</w:t>
      </w:r>
      <w:r>
        <w:rPr>
          <w:rFonts w:ascii="Times New Roman" w:hAnsi="Times New Roman"/>
          <w:b w:val="0"/>
          <w:bCs w:val="0"/>
          <w:sz w:val="32"/>
          <w:szCs w:val="32"/>
        </w:rPr>
        <w:t>申请补报名（不得兼报艺术、体育类）。</w:t>
      </w:r>
    </w:p>
    <w:p w14:paraId="54C52400">
      <w:pPr>
        <w:spacing w:before="0" w:after="0" w:line="560" w:lineRule="exact"/>
        <w:ind w:firstLine="640"/>
        <w:jc w:val="both"/>
      </w:pPr>
      <w:r>
        <w:rPr>
          <w:rFonts w:eastAsia="仿宋"/>
          <w:b w:val="0"/>
          <w:bCs w:val="0"/>
          <w:sz w:val="32"/>
          <w:szCs w:val="32"/>
        </w:rPr>
        <w:t>3</w:t>
      </w:r>
      <w:r>
        <w:rPr>
          <w:rFonts w:ascii="Times New Roman" w:hAnsi="Times New Roman"/>
          <w:b w:val="0"/>
          <w:bCs w:val="0"/>
          <w:sz w:val="32"/>
          <w:szCs w:val="32"/>
        </w:rPr>
        <w:t>．体检要求：所有考生均须参加高考体检，未参检考生高校可不予录取，体检原则上于</w:t>
      </w:r>
      <w:r>
        <w:rPr>
          <w:rFonts w:eastAsia="仿宋"/>
          <w:b w:val="0"/>
          <w:bCs w:val="0"/>
          <w:sz w:val="32"/>
          <w:szCs w:val="32"/>
        </w:rPr>
        <w:t>2027</w:t>
      </w:r>
      <w:r>
        <w:rPr>
          <w:rFonts w:ascii="Times New Roman" w:hAnsi="Times New Roman"/>
          <w:b w:val="0"/>
          <w:bCs w:val="0"/>
          <w:sz w:val="32"/>
          <w:szCs w:val="32"/>
        </w:rPr>
        <w:t>年</w:t>
      </w:r>
      <w:r>
        <w:rPr>
          <w:rFonts w:eastAsia="仿宋"/>
          <w:b w:val="0"/>
          <w:bCs w:val="0"/>
          <w:sz w:val="32"/>
          <w:szCs w:val="32"/>
        </w:rPr>
        <w:t>4</w:t>
      </w:r>
      <w:r>
        <w:rPr>
          <w:rFonts w:ascii="Times New Roman" w:hAnsi="Times New Roman"/>
          <w:b w:val="0"/>
          <w:bCs w:val="0"/>
          <w:sz w:val="32"/>
          <w:szCs w:val="32"/>
        </w:rPr>
        <w:t>月底前完成。</w:t>
      </w:r>
    </w:p>
    <w:p w14:paraId="6AFACDBB">
      <w:pPr>
        <w:pStyle w:val="3"/>
      </w:pPr>
      <w:r>
        <w:rPr>
          <w:rFonts w:ascii="Times New Roman" w:hAnsi="Times New Roman"/>
          <w:sz w:val="32"/>
          <w:szCs w:val="32"/>
        </w:rPr>
        <w:t>（三）考试模式与分值构成</w:t>
      </w:r>
    </w:p>
    <w:p w14:paraId="0920871D">
      <w:pPr>
        <w:spacing w:before="0" w:after="0" w:line="560" w:lineRule="exact"/>
        <w:ind w:firstLine="640"/>
        <w:jc w:val="both"/>
      </w:pPr>
      <w:r>
        <w:rPr>
          <w:rFonts w:eastAsia="仿宋"/>
          <w:b w:val="0"/>
          <w:bCs w:val="0"/>
          <w:sz w:val="32"/>
          <w:szCs w:val="32"/>
        </w:rPr>
        <w:t>2027</w:t>
      </w:r>
      <w:r>
        <w:rPr>
          <w:rFonts w:ascii="Times New Roman" w:hAnsi="Times New Roman"/>
          <w:b w:val="0"/>
          <w:bCs w:val="0"/>
          <w:sz w:val="32"/>
          <w:szCs w:val="32"/>
        </w:rPr>
        <w:t>年单招考试由文化素质考试和职业技能考试两部分组成，总分</w:t>
      </w:r>
      <w:r>
        <w:rPr>
          <w:rFonts w:eastAsia="仿宋"/>
          <w:b w:val="0"/>
          <w:bCs w:val="0"/>
          <w:sz w:val="32"/>
          <w:szCs w:val="32"/>
        </w:rPr>
        <w:t>450</w:t>
      </w:r>
      <w:r>
        <w:rPr>
          <w:rFonts w:ascii="Times New Roman" w:hAnsi="Times New Roman"/>
          <w:b w:val="0"/>
          <w:bCs w:val="0"/>
          <w:sz w:val="32"/>
          <w:szCs w:val="32"/>
        </w:rPr>
        <w:t>分。</w:t>
      </w:r>
    </w:p>
    <w:p w14:paraId="68C693F2">
      <w:pPr>
        <w:spacing w:before="0" w:after="0" w:line="560" w:lineRule="exact"/>
        <w:ind w:firstLine="640"/>
        <w:jc w:val="both"/>
      </w:pPr>
      <w:r>
        <w:rPr>
          <w:rFonts w:eastAsia="仿宋"/>
          <w:b w:val="0"/>
          <w:bCs w:val="0"/>
          <w:sz w:val="32"/>
          <w:szCs w:val="32"/>
        </w:rPr>
        <w:t>1</w:t>
      </w:r>
      <w:r>
        <w:rPr>
          <w:rFonts w:ascii="Times New Roman" w:hAnsi="Times New Roman"/>
          <w:b w:val="0"/>
          <w:bCs w:val="0"/>
          <w:sz w:val="32"/>
          <w:szCs w:val="32"/>
        </w:rPr>
        <w:t>．文化素质考试（满分</w:t>
      </w:r>
      <w:r>
        <w:rPr>
          <w:rFonts w:eastAsia="仿宋"/>
          <w:b w:val="0"/>
          <w:bCs w:val="0"/>
          <w:sz w:val="32"/>
          <w:szCs w:val="32"/>
        </w:rPr>
        <w:t>200</w:t>
      </w:r>
      <w:r>
        <w:rPr>
          <w:rFonts w:ascii="Times New Roman" w:hAnsi="Times New Roman"/>
          <w:b w:val="0"/>
          <w:bCs w:val="0"/>
          <w:sz w:val="32"/>
          <w:szCs w:val="32"/>
        </w:rPr>
        <w:t>分）：考试科目为语文、数学（合卷），每科满分</w:t>
      </w:r>
      <w:r>
        <w:rPr>
          <w:rFonts w:eastAsia="仿宋"/>
          <w:b w:val="0"/>
          <w:bCs w:val="0"/>
          <w:sz w:val="32"/>
          <w:szCs w:val="32"/>
        </w:rPr>
        <w:t>100</w:t>
      </w:r>
      <w:r>
        <w:rPr>
          <w:rFonts w:ascii="Times New Roman" w:hAnsi="Times New Roman"/>
          <w:b w:val="0"/>
          <w:bCs w:val="0"/>
          <w:sz w:val="32"/>
          <w:szCs w:val="32"/>
        </w:rPr>
        <w:t>分，全省统一命题、统一考试，命题依据《中等职业学校公共基础课程教学标准》；</w:t>
      </w:r>
      <w:r>
        <w:rPr>
          <w:rFonts w:eastAsia="仿宋"/>
          <w:b w:val="0"/>
          <w:bCs w:val="0"/>
          <w:sz w:val="32"/>
          <w:szCs w:val="32"/>
        </w:rPr>
        <w:t>2027</w:t>
      </w:r>
      <w:r>
        <w:rPr>
          <w:rFonts w:ascii="Times New Roman" w:hAnsi="Times New Roman"/>
          <w:b w:val="0"/>
          <w:bCs w:val="0"/>
          <w:sz w:val="32"/>
          <w:szCs w:val="32"/>
        </w:rPr>
        <w:t>年暂不设置英语科目（</w:t>
      </w:r>
      <w:r>
        <w:rPr>
          <w:rFonts w:eastAsia="仿宋"/>
          <w:b w:val="0"/>
          <w:bCs w:val="0"/>
          <w:sz w:val="32"/>
          <w:szCs w:val="32"/>
        </w:rPr>
        <w:t>2028</w:t>
      </w:r>
      <w:r>
        <w:rPr>
          <w:rFonts w:ascii="Times New Roman" w:hAnsi="Times New Roman"/>
          <w:b w:val="0"/>
          <w:bCs w:val="0"/>
          <w:sz w:val="32"/>
          <w:szCs w:val="32"/>
        </w:rPr>
        <w:t>年职教高考外语为必考科目）。</w:t>
      </w:r>
    </w:p>
    <w:p w14:paraId="3240A50B">
      <w:pPr>
        <w:spacing w:before="0" w:after="0" w:line="560" w:lineRule="exact"/>
        <w:ind w:firstLine="640"/>
        <w:jc w:val="both"/>
      </w:pPr>
      <w:r>
        <w:rPr>
          <w:rFonts w:eastAsia="仿宋"/>
          <w:b w:val="0"/>
          <w:bCs w:val="0"/>
          <w:sz w:val="32"/>
          <w:szCs w:val="32"/>
        </w:rPr>
        <w:t>2</w:t>
      </w:r>
      <w:r>
        <w:rPr>
          <w:rFonts w:ascii="Times New Roman" w:hAnsi="Times New Roman"/>
          <w:b w:val="0"/>
          <w:bCs w:val="0"/>
          <w:sz w:val="32"/>
          <w:szCs w:val="32"/>
        </w:rPr>
        <w:t>．职业技能考试（满分</w:t>
      </w:r>
      <w:r>
        <w:rPr>
          <w:rFonts w:eastAsia="仿宋"/>
          <w:b w:val="0"/>
          <w:bCs w:val="0"/>
          <w:sz w:val="32"/>
          <w:szCs w:val="32"/>
        </w:rPr>
        <w:t>250</w:t>
      </w:r>
      <w:r>
        <w:rPr>
          <w:rFonts w:ascii="Times New Roman" w:hAnsi="Times New Roman"/>
          <w:b w:val="0"/>
          <w:bCs w:val="0"/>
          <w:sz w:val="32"/>
          <w:szCs w:val="32"/>
        </w:rPr>
        <w:t>分）：</w:t>
      </w:r>
      <w:r>
        <w:rPr>
          <w:rFonts w:eastAsia="仿宋"/>
          <w:b w:val="0"/>
          <w:bCs w:val="0"/>
          <w:sz w:val="32"/>
          <w:szCs w:val="32"/>
        </w:rPr>
        <w:t>2027</w:t>
      </w:r>
      <w:r>
        <w:rPr>
          <w:rFonts w:ascii="Times New Roman" w:hAnsi="Times New Roman"/>
          <w:b w:val="0"/>
          <w:bCs w:val="0"/>
          <w:sz w:val="32"/>
          <w:szCs w:val="32"/>
        </w:rPr>
        <w:t>年起首次实行省级统考，按</w:t>
      </w:r>
      <w:r>
        <w:rPr>
          <w:rFonts w:eastAsia="仿宋"/>
          <w:b w:val="0"/>
          <w:bCs w:val="0"/>
          <w:sz w:val="32"/>
          <w:szCs w:val="32"/>
        </w:rPr>
        <w:t>19</w:t>
      </w:r>
      <w:r>
        <w:rPr>
          <w:rFonts w:ascii="Times New Roman" w:hAnsi="Times New Roman"/>
          <w:b w:val="0"/>
          <w:bCs w:val="0"/>
          <w:sz w:val="32"/>
          <w:szCs w:val="32"/>
        </w:rPr>
        <w:t>个专业大类分类命题，考核内容涵盖专业理论与技能实操，具体考试形式、题型以江西省教育考试院正式通知为准。</w:t>
      </w:r>
    </w:p>
    <w:p w14:paraId="4F537665">
      <w:pPr>
        <w:pStyle w:val="3"/>
      </w:pPr>
      <w:r>
        <w:rPr>
          <w:rFonts w:ascii="Times New Roman" w:hAnsi="Times New Roman"/>
          <w:sz w:val="32"/>
          <w:szCs w:val="32"/>
        </w:rPr>
        <w:t>（四）报考流程与关键时间节点</w:t>
      </w:r>
    </w:p>
    <w:p w14:paraId="5DF2E72A">
      <w:pPr>
        <w:spacing w:before="0" w:after="0" w:line="560" w:lineRule="exact"/>
        <w:ind w:firstLine="640"/>
        <w:jc w:val="both"/>
      </w:pPr>
      <w:r>
        <w:rPr>
          <w:rFonts w:ascii="Times New Roman" w:hAnsi="Times New Roman"/>
          <w:b w:val="0"/>
          <w:bCs w:val="0"/>
          <w:sz w:val="32"/>
          <w:szCs w:val="32"/>
        </w:rPr>
        <w:t>以下时间节点依据省级安排整理，具体以《江西省</w:t>
      </w:r>
      <w:r>
        <w:rPr>
          <w:rFonts w:eastAsia="仿宋"/>
          <w:b w:val="0"/>
          <w:bCs w:val="0"/>
          <w:sz w:val="32"/>
          <w:szCs w:val="32"/>
        </w:rPr>
        <w:t>2027</w:t>
      </w:r>
      <w:r>
        <w:rPr>
          <w:rFonts w:ascii="Times New Roman" w:hAnsi="Times New Roman"/>
          <w:b w:val="0"/>
          <w:bCs w:val="0"/>
          <w:sz w:val="32"/>
          <w:szCs w:val="32"/>
        </w:rPr>
        <w:t>年高职单招考试工作通知》为准：</w:t>
      </w:r>
    </w:p>
    <w:p w14:paraId="3C92BDB0">
      <w:pPr>
        <w:spacing w:before="0" w:after="0" w:line="560" w:lineRule="exact"/>
        <w:ind w:firstLine="640"/>
        <w:jc w:val="both"/>
      </w:pPr>
      <w:r>
        <w:rPr>
          <w:rFonts w:eastAsia="仿宋"/>
          <w:b w:val="0"/>
          <w:bCs w:val="0"/>
          <w:sz w:val="32"/>
          <w:szCs w:val="32"/>
        </w:rPr>
        <w:t>1</w:t>
      </w:r>
      <w:r>
        <w:rPr>
          <w:rFonts w:ascii="Times New Roman" w:hAnsi="Times New Roman"/>
          <w:b w:val="0"/>
          <w:bCs w:val="0"/>
          <w:sz w:val="32"/>
          <w:szCs w:val="32"/>
        </w:rPr>
        <w:t>．</w:t>
      </w:r>
      <w:r>
        <w:rPr>
          <w:rFonts w:eastAsia="仿宋"/>
          <w:b w:val="0"/>
          <w:bCs w:val="0"/>
          <w:sz w:val="32"/>
          <w:szCs w:val="32"/>
        </w:rPr>
        <w:t>2026</w:t>
      </w:r>
      <w:r>
        <w:rPr>
          <w:rFonts w:ascii="Times New Roman" w:hAnsi="Times New Roman"/>
          <w:b w:val="0"/>
          <w:bCs w:val="0"/>
          <w:sz w:val="32"/>
          <w:szCs w:val="32"/>
        </w:rPr>
        <w:t>年</w:t>
      </w:r>
      <w:r>
        <w:rPr>
          <w:rFonts w:eastAsia="仿宋"/>
          <w:b w:val="0"/>
          <w:bCs w:val="0"/>
          <w:sz w:val="32"/>
          <w:szCs w:val="32"/>
        </w:rPr>
        <w:t>11</w:t>
      </w:r>
      <w:r>
        <w:rPr>
          <w:rFonts w:ascii="Times New Roman" w:hAnsi="Times New Roman"/>
          <w:b w:val="0"/>
          <w:bCs w:val="0"/>
          <w:sz w:val="32"/>
          <w:szCs w:val="32"/>
        </w:rPr>
        <w:t>月：省教育考试院发布</w:t>
      </w:r>
      <w:r>
        <w:rPr>
          <w:rFonts w:eastAsia="仿宋"/>
          <w:b w:val="0"/>
          <w:bCs w:val="0"/>
          <w:sz w:val="32"/>
          <w:szCs w:val="32"/>
        </w:rPr>
        <w:t>2027</w:t>
      </w:r>
      <w:r>
        <w:rPr>
          <w:rFonts w:ascii="Times New Roman" w:hAnsi="Times New Roman"/>
          <w:b w:val="0"/>
          <w:bCs w:val="0"/>
          <w:sz w:val="32"/>
          <w:szCs w:val="32"/>
        </w:rPr>
        <w:t>年高职单招考试工作通知，明确报考条件、报考时间与办法，学院第一时间组织考生网上报考指导；</w:t>
      </w:r>
    </w:p>
    <w:p w14:paraId="66F8E94D">
      <w:pPr>
        <w:spacing w:before="0" w:after="0" w:line="560" w:lineRule="exact"/>
        <w:ind w:firstLine="640"/>
        <w:jc w:val="both"/>
      </w:pPr>
      <w:r>
        <w:rPr>
          <w:rFonts w:eastAsia="仿宋"/>
          <w:b w:val="0"/>
          <w:bCs w:val="0"/>
          <w:sz w:val="32"/>
          <w:szCs w:val="32"/>
        </w:rPr>
        <w:t>2</w:t>
      </w:r>
      <w:r>
        <w:rPr>
          <w:rFonts w:ascii="Times New Roman" w:hAnsi="Times New Roman"/>
          <w:b w:val="0"/>
          <w:bCs w:val="0"/>
          <w:sz w:val="32"/>
          <w:szCs w:val="32"/>
        </w:rPr>
        <w:t>．</w:t>
      </w:r>
      <w:r>
        <w:rPr>
          <w:rFonts w:eastAsia="仿宋"/>
          <w:b w:val="0"/>
          <w:bCs w:val="0"/>
          <w:sz w:val="32"/>
          <w:szCs w:val="32"/>
        </w:rPr>
        <w:t>2027</w:t>
      </w:r>
      <w:r>
        <w:rPr>
          <w:rFonts w:ascii="Times New Roman" w:hAnsi="Times New Roman"/>
          <w:b w:val="0"/>
          <w:bCs w:val="0"/>
          <w:sz w:val="32"/>
          <w:szCs w:val="32"/>
        </w:rPr>
        <w:t>年</w:t>
      </w:r>
      <w:r>
        <w:rPr>
          <w:rFonts w:eastAsia="仿宋"/>
          <w:b w:val="0"/>
          <w:bCs w:val="0"/>
          <w:sz w:val="32"/>
          <w:szCs w:val="32"/>
        </w:rPr>
        <w:t>1</w:t>
      </w:r>
      <w:r>
        <w:rPr>
          <w:rFonts w:ascii="Times New Roman" w:hAnsi="Times New Roman"/>
          <w:b w:val="0"/>
          <w:bCs w:val="0"/>
          <w:sz w:val="32"/>
          <w:szCs w:val="32"/>
        </w:rPr>
        <w:t>月—</w:t>
      </w:r>
      <w:r>
        <w:rPr>
          <w:rFonts w:eastAsia="仿宋"/>
          <w:b w:val="0"/>
          <w:bCs w:val="0"/>
          <w:sz w:val="32"/>
          <w:szCs w:val="32"/>
        </w:rPr>
        <w:t>2</w:t>
      </w:r>
      <w:r>
        <w:rPr>
          <w:rFonts w:ascii="Times New Roman" w:hAnsi="Times New Roman"/>
          <w:b w:val="0"/>
          <w:bCs w:val="0"/>
          <w:sz w:val="32"/>
          <w:szCs w:val="32"/>
        </w:rPr>
        <w:t>月：考生参加高考体检；学院发布</w:t>
      </w:r>
      <w:r>
        <w:rPr>
          <w:rFonts w:eastAsia="仿宋"/>
          <w:b w:val="0"/>
          <w:bCs w:val="0"/>
          <w:sz w:val="32"/>
          <w:szCs w:val="32"/>
        </w:rPr>
        <w:t>2027</w:t>
      </w:r>
      <w:r>
        <w:rPr>
          <w:rFonts w:ascii="Times New Roman" w:hAnsi="Times New Roman"/>
          <w:b w:val="0"/>
          <w:bCs w:val="0"/>
          <w:sz w:val="32"/>
          <w:szCs w:val="32"/>
        </w:rPr>
        <w:t>年单招招生简章，公布招生专业、招生计划、考核办法与录取规则；</w:t>
      </w:r>
    </w:p>
    <w:p w14:paraId="4FB7A19B">
      <w:pPr>
        <w:spacing w:before="0" w:after="0" w:line="560" w:lineRule="exact"/>
        <w:ind w:firstLine="640"/>
        <w:jc w:val="both"/>
      </w:pPr>
      <w:r>
        <w:rPr>
          <w:rFonts w:eastAsia="仿宋"/>
          <w:b w:val="0"/>
          <w:bCs w:val="0"/>
          <w:sz w:val="32"/>
          <w:szCs w:val="32"/>
        </w:rPr>
        <w:t>3</w:t>
      </w:r>
      <w:r>
        <w:rPr>
          <w:rFonts w:ascii="Times New Roman" w:hAnsi="Times New Roman"/>
          <w:b w:val="0"/>
          <w:bCs w:val="0"/>
          <w:sz w:val="32"/>
          <w:szCs w:val="32"/>
        </w:rPr>
        <w:t>．</w:t>
      </w:r>
      <w:r>
        <w:rPr>
          <w:rFonts w:eastAsia="仿宋"/>
          <w:b w:val="0"/>
          <w:bCs w:val="0"/>
          <w:sz w:val="32"/>
          <w:szCs w:val="32"/>
        </w:rPr>
        <w:t>2027</w:t>
      </w:r>
      <w:r>
        <w:rPr>
          <w:rFonts w:ascii="Times New Roman" w:hAnsi="Times New Roman"/>
          <w:b w:val="0"/>
          <w:bCs w:val="0"/>
          <w:sz w:val="32"/>
          <w:szCs w:val="32"/>
        </w:rPr>
        <w:t>年</w:t>
      </w:r>
      <w:r>
        <w:rPr>
          <w:rFonts w:eastAsia="仿宋"/>
          <w:b w:val="0"/>
          <w:bCs w:val="0"/>
          <w:sz w:val="32"/>
          <w:szCs w:val="32"/>
        </w:rPr>
        <w:t>3</w:t>
      </w:r>
      <w:r>
        <w:rPr>
          <w:rFonts w:ascii="Times New Roman" w:hAnsi="Times New Roman"/>
          <w:b w:val="0"/>
          <w:bCs w:val="0"/>
          <w:sz w:val="32"/>
          <w:szCs w:val="32"/>
        </w:rPr>
        <w:t>月：文化素质考试与职业技能考试（考点、时间以准考证为准）；</w:t>
      </w:r>
    </w:p>
    <w:p w14:paraId="0D84EF46">
      <w:pPr>
        <w:spacing w:before="0" w:after="0" w:line="560" w:lineRule="exact"/>
        <w:ind w:firstLine="640"/>
        <w:jc w:val="both"/>
      </w:pPr>
      <w:r>
        <w:rPr>
          <w:rFonts w:eastAsia="仿宋"/>
          <w:b w:val="0"/>
          <w:bCs w:val="0"/>
          <w:sz w:val="32"/>
          <w:szCs w:val="32"/>
        </w:rPr>
        <w:t>4</w:t>
      </w:r>
      <w:r>
        <w:rPr>
          <w:rFonts w:ascii="Times New Roman" w:hAnsi="Times New Roman"/>
          <w:b w:val="0"/>
          <w:bCs w:val="0"/>
          <w:sz w:val="32"/>
          <w:szCs w:val="32"/>
        </w:rPr>
        <w:t>．</w:t>
      </w:r>
      <w:r>
        <w:rPr>
          <w:rFonts w:eastAsia="仿宋"/>
          <w:b w:val="0"/>
          <w:bCs w:val="0"/>
          <w:sz w:val="32"/>
          <w:szCs w:val="32"/>
        </w:rPr>
        <w:t>2027</w:t>
      </w:r>
      <w:r>
        <w:rPr>
          <w:rFonts w:ascii="Times New Roman" w:hAnsi="Times New Roman"/>
          <w:b w:val="0"/>
          <w:bCs w:val="0"/>
          <w:sz w:val="32"/>
          <w:szCs w:val="32"/>
        </w:rPr>
        <w:t>年</w:t>
      </w:r>
      <w:r>
        <w:rPr>
          <w:rFonts w:eastAsia="仿宋"/>
          <w:b w:val="0"/>
          <w:bCs w:val="0"/>
          <w:sz w:val="32"/>
          <w:szCs w:val="32"/>
        </w:rPr>
        <w:t>4</w:t>
      </w:r>
      <w:r>
        <w:rPr>
          <w:rFonts w:ascii="Times New Roman" w:hAnsi="Times New Roman"/>
          <w:b w:val="0"/>
          <w:bCs w:val="0"/>
          <w:sz w:val="32"/>
          <w:szCs w:val="32"/>
        </w:rPr>
        <w:t>月：考生查询成绩并申请成绩复核；</w:t>
      </w:r>
    </w:p>
    <w:p w14:paraId="7EBF2000">
      <w:pPr>
        <w:spacing w:before="0" w:after="0" w:line="560" w:lineRule="exact"/>
        <w:ind w:firstLine="640"/>
        <w:jc w:val="both"/>
      </w:pPr>
      <w:r>
        <w:rPr>
          <w:rFonts w:eastAsia="仿宋"/>
          <w:b w:val="0"/>
          <w:bCs w:val="0"/>
          <w:sz w:val="32"/>
          <w:szCs w:val="32"/>
        </w:rPr>
        <w:t>5</w:t>
      </w:r>
      <w:r>
        <w:rPr>
          <w:rFonts w:ascii="Times New Roman" w:hAnsi="Times New Roman"/>
          <w:b w:val="0"/>
          <w:bCs w:val="0"/>
          <w:sz w:val="32"/>
          <w:szCs w:val="32"/>
        </w:rPr>
        <w:t>．</w:t>
      </w:r>
      <w:r>
        <w:rPr>
          <w:rFonts w:eastAsia="仿宋"/>
          <w:b w:val="0"/>
          <w:bCs w:val="0"/>
          <w:sz w:val="32"/>
          <w:szCs w:val="32"/>
        </w:rPr>
        <w:t>2027</w:t>
      </w:r>
      <w:r>
        <w:rPr>
          <w:rFonts w:ascii="Times New Roman" w:hAnsi="Times New Roman"/>
          <w:b w:val="0"/>
          <w:bCs w:val="0"/>
          <w:sz w:val="32"/>
          <w:szCs w:val="32"/>
        </w:rPr>
        <w:t>年</w:t>
      </w:r>
      <w:r>
        <w:rPr>
          <w:rFonts w:eastAsia="仿宋"/>
          <w:b w:val="0"/>
          <w:bCs w:val="0"/>
          <w:sz w:val="32"/>
          <w:szCs w:val="32"/>
        </w:rPr>
        <w:t>4</w:t>
      </w:r>
      <w:r>
        <w:rPr>
          <w:rFonts w:ascii="Times New Roman" w:hAnsi="Times New Roman"/>
          <w:b w:val="0"/>
          <w:bCs w:val="0"/>
          <w:sz w:val="32"/>
          <w:szCs w:val="32"/>
        </w:rPr>
        <w:t>月中下旬：网上填报院校及专业志愿（拟先考试、后填报志愿，具体志愿设置与投档规则以省教育考试院通知为准）；</w:t>
      </w:r>
    </w:p>
    <w:p w14:paraId="572862B2">
      <w:pPr>
        <w:spacing w:before="0" w:after="0" w:line="560" w:lineRule="exact"/>
        <w:ind w:firstLine="640"/>
        <w:jc w:val="both"/>
      </w:pPr>
      <w:r>
        <w:rPr>
          <w:rFonts w:eastAsia="仿宋"/>
          <w:b w:val="0"/>
          <w:bCs w:val="0"/>
          <w:sz w:val="32"/>
          <w:szCs w:val="32"/>
        </w:rPr>
        <w:t>6</w:t>
      </w:r>
      <w:r>
        <w:rPr>
          <w:rFonts w:ascii="Times New Roman" w:hAnsi="Times New Roman"/>
          <w:b w:val="0"/>
          <w:bCs w:val="0"/>
          <w:sz w:val="32"/>
          <w:szCs w:val="32"/>
        </w:rPr>
        <w:t>．</w:t>
      </w:r>
      <w:r>
        <w:rPr>
          <w:rFonts w:eastAsia="仿宋"/>
          <w:b w:val="0"/>
          <w:bCs w:val="0"/>
          <w:sz w:val="32"/>
          <w:szCs w:val="32"/>
        </w:rPr>
        <w:t>2027</w:t>
      </w:r>
      <w:r>
        <w:rPr>
          <w:rFonts w:ascii="Times New Roman" w:hAnsi="Times New Roman"/>
          <w:b w:val="0"/>
          <w:bCs w:val="0"/>
          <w:sz w:val="32"/>
          <w:szCs w:val="32"/>
        </w:rPr>
        <w:t>年</w:t>
      </w:r>
      <w:r>
        <w:rPr>
          <w:rFonts w:eastAsia="仿宋"/>
          <w:b w:val="0"/>
          <w:bCs w:val="0"/>
          <w:sz w:val="32"/>
          <w:szCs w:val="32"/>
        </w:rPr>
        <w:t>4</w:t>
      </w:r>
      <w:r>
        <w:rPr>
          <w:rFonts w:ascii="Times New Roman" w:hAnsi="Times New Roman"/>
          <w:b w:val="0"/>
          <w:bCs w:val="0"/>
          <w:sz w:val="32"/>
          <w:szCs w:val="32"/>
        </w:rPr>
        <w:t>月下旬：完成录取、公示并寄发录取通知书。</w:t>
      </w:r>
    </w:p>
    <w:p w14:paraId="531030C2">
      <w:pPr>
        <w:pStyle w:val="3"/>
      </w:pPr>
      <w:r>
        <w:rPr>
          <w:rFonts w:ascii="Times New Roman" w:hAnsi="Times New Roman"/>
          <w:sz w:val="32"/>
          <w:szCs w:val="32"/>
        </w:rPr>
        <w:t>（五）录取规则与志愿填报</w:t>
      </w:r>
    </w:p>
    <w:p w14:paraId="34AD133E">
      <w:pPr>
        <w:spacing w:before="0" w:after="0" w:line="560" w:lineRule="exact"/>
        <w:ind w:firstLine="640"/>
        <w:jc w:val="both"/>
      </w:pPr>
      <w:r>
        <w:rPr>
          <w:rFonts w:hint="eastAsia"/>
          <w:b w:val="0"/>
          <w:bCs w:val="0"/>
          <w:sz w:val="32"/>
          <w:szCs w:val="32"/>
          <w:lang w:eastAsia="zh-CN"/>
        </w:rPr>
        <w:t>1.</w:t>
      </w:r>
      <w:r>
        <w:rPr>
          <w:rFonts w:ascii="Times New Roman" w:hAnsi="Times New Roman"/>
          <w:b w:val="0"/>
          <w:bCs w:val="0"/>
          <w:sz w:val="32"/>
          <w:szCs w:val="32"/>
        </w:rPr>
        <w:t>投档与录取：</w:t>
      </w:r>
      <w:r>
        <w:rPr>
          <w:rFonts w:eastAsia="仿宋"/>
          <w:b w:val="0"/>
          <w:bCs w:val="0"/>
          <w:sz w:val="32"/>
          <w:szCs w:val="32"/>
        </w:rPr>
        <w:t>2027</w:t>
      </w:r>
      <w:r>
        <w:rPr>
          <w:rFonts w:ascii="Times New Roman" w:hAnsi="Times New Roman"/>
          <w:b w:val="0"/>
          <w:bCs w:val="0"/>
          <w:sz w:val="32"/>
          <w:szCs w:val="32"/>
        </w:rPr>
        <w:t>年我省单招录取办法预计同步优化，拟实行全省平行志愿投档，按考生“文化素质考试＋职业技能考试”总分排序投档；具体投档与录取规则以省教育考试院正式通知和学院当年单招简章为准。</w:t>
      </w:r>
    </w:p>
    <w:p w14:paraId="2E507538">
      <w:pPr>
        <w:spacing w:before="0" w:after="0" w:line="560" w:lineRule="exact"/>
        <w:ind w:firstLine="640"/>
        <w:jc w:val="both"/>
      </w:pPr>
      <w:r>
        <w:rPr>
          <w:rFonts w:hint="eastAsia"/>
          <w:b w:val="0"/>
          <w:bCs w:val="0"/>
          <w:sz w:val="32"/>
          <w:szCs w:val="32"/>
          <w:lang w:eastAsia="zh-CN"/>
        </w:rPr>
        <w:t>2.</w:t>
      </w:r>
      <w:r>
        <w:rPr>
          <w:rFonts w:ascii="Times New Roman" w:hAnsi="Times New Roman"/>
          <w:b w:val="0"/>
          <w:bCs w:val="0"/>
          <w:sz w:val="32"/>
          <w:szCs w:val="32"/>
        </w:rPr>
        <w:t>合格线要求：拟对文化素质考试、职业技能考试分别设置单科合格线，宣讲时须提醒考生“两科都不能偏废”，具体要求以正式通知为准。</w:t>
      </w:r>
    </w:p>
    <w:p w14:paraId="461AFA4B">
      <w:pPr>
        <w:spacing w:before="0" w:after="0" w:line="560" w:lineRule="exact"/>
        <w:ind w:firstLine="640"/>
        <w:jc w:val="both"/>
      </w:pPr>
      <w:r>
        <w:rPr>
          <w:rFonts w:hint="eastAsia"/>
          <w:b w:val="0"/>
          <w:bCs w:val="0"/>
          <w:sz w:val="32"/>
          <w:szCs w:val="32"/>
          <w:lang w:eastAsia="zh-CN"/>
        </w:rPr>
        <w:t>3.</w:t>
      </w:r>
      <w:r>
        <w:rPr>
          <w:rFonts w:ascii="Times New Roman" w:hAnsi="Times New Roman"/>
          <w:b w:val="0"/>
          <w:bCs w:val="0"/>
          <w:sz w:val="32"/>
          <w:szCs w:val="32"/>
        </w:rPr>
        <w:t>志愿填报：须指导考生结合自身成绩合理设置“冲—稳—保”院校梯度，做好多校备选，避免滑档。</w:t>
      </w:r>
    </w:p>
    <w:p w14:paraId="401E77C2">
      <w:pPr>
        <w:pStyle w:val="3"/>
      </w:pPr>
      <w:r>
        <w:rPr>
          <w:rFonts w:ascii="Times New Roman" w:hAnsi="Times New Roman"/>
          <w:sz w:val="32"/>
          <w:szCs w:val="32"/>
        </w:rPr>
        <w:t>（六）待遇、加分与免试政策</w:t>
      </w:r>
    </w:p>
    <w:p w14:paraId="4999B278">
      <w:pPr>
        <w:spacing w:before="0" w:after="0" w:line="560" w:lineRule="exact"/>
        <w:ind w:firstLine="640"/>
        <w:jc w:val="both"/>
      </w:pPr>
      <w:r>
        <w:rPr>
          <w:rFonts w:hint="eastAsia"/>
          <w:b w:val="0"/>
          <w:bCs w:val="0"/>
          <w:sz w:val="32"/>
          <w:szCs w:val="32"/>
          <w:lang w:eastAsia="zh-CN"/>
        </w:rPr>
        <w:t>1.</w:t>
      </w:r>
      <w:r>
        <w:rPr>
          <w:rFonts w:ascii="Times New Roman" w:hAnsi="Times New Roman"/>
          <w:b w:val="0"/>
          <w:bCs w:val="0"/>
          <w:sz w:val="32"/>
          <w:szCs w:val="32"/>
        </w:rPr>
        <w:t>待遇与约束：通过高职单招录取的考生，与参加统一高考录取的考生享受相同待遇；录取后不再具备参加</w:t>
      </w:r>
      <w:r>
        <w:rPr>
          <w:rFonts w:eastAsia="仿宋"/>
          <w:b w:val="0"/>
          <w:bCs w:val="0"/>
          <w:sz w:val="32"/>
          <w:szCs w:val="32"/>
        </w:rPr>
        <w:t>2027</w:t>
      </w:r>
      <w:r>
        <w:rPr>
          <w:rFonts w:ascii="Times New Roman" w:hAnsi="Times New Roman"/>
          <w:b w:val="0"/>
          <w:bCs w:val="0"/>
          <w:sz w:val="32"/>
          <w:szCs w:val="32"/>
        </w:rPr>
        <w:t>年统一高考（含三校生类考试）及录取资格，且录取后不得退录，宣讲时须明确告知考生及家长。</w:t>
      </w:r>
    </w:p>
    <w:p w14:paraId="5203953B">
      <w:pPr>
        <w:spacing w:before="0" w:after="0" w:line="560" w:lineRule="exact"/>
        <w:ind w:firstLine="640"/>
        <w:jc w:val="both"/>
      </w:pPr>
      <w:r>
        <w:rPr>
          <w:rFonts w:hint="eastAsia"/>
          <w:b w:val="0"/>
          <w:bCs w:val="0"/>
          <w:sz w:val="32"/>
          <w:szCs w:val="32"/>
          <w:lang w:eastAsia="zh-CN"/>
        </w:rPr>
        <w:t>2.</w:t>
      </w:r>
      <w:r>
        <w:rPr>
          <w:rFonts w:ascii="Times New Roman" w:hAnsi="Times New Roman"/>
          <w:b w:val="0"/>
          <w:bCs w:val="0"/>
          <w:sz w:val="32"/>
          <w:szCs w:val="32"/>
        </w:rPr>
        <w:t>加分政策：按《江西省关于进一步深化高考加分改革的实施方案》执行，符合条件的考生经审核公示后可在总成绩基础上加分（烈士子女加</w:t>
      </w:r>
      <w:r>
        <w:rPr>
          <w:rFonts w:eastAsia="仿宋"/>
          <w:b w:val="0"/>
          <w:bCs w:val="0"/>
          <w:sz w:val="32"/>
          <w:szCs w:val="32"/>
        </w:rPr>
        <w:t>20</w:t>
      </w:r>
      <w:r>
        <w:rPr>
          <w:rFonts w:ascii="Times New Roman" w:hAnsi="Times New Roman"/>
          <w:b w:val="0"/>
          <w:bCs w:val="0"/>
          <w:sz w:val="32"/>
          <w:szCs w:val="32"/>
        </w:rPr>
        <w:t>分，服役期间荣立二等功以上或被战区以上单位授予荣誉称号的退役军人加</w:t>
      </w:r>
      <w:r>
        <w:rPr>
          <w:rFonts w:eastAsia="仿宋"/>
          <w:b w:val="0"/>
          <w:bCs w:val="0"/>
          <w:sz w:val="32"/>
          <w:szCs w:val="32"/>
        </w:rPr>
        <w:t>20</w:t>
      </w:r>
      <w:r>
        <w:rPr>
          <w:rFonts w:ascii="Times New Roman" w:hAnsi="Times New Roman"/>
          <w:b w:val="0"/>
          <w:bCs w:val="0"/>
          <w:sz w:val="32"/>
          <w:szCs w:val="32"/>
        </w:rPr>
        <w:t>分，自主就业退役士兵加</w:t>
      </w:r>
      <w:r>
        <w:rPr>
          <w:rFonts w:eastAsia="仿宋"/>
          <w:b w:val="0"/>
          <w:bCs w:val="0"/>
          <w:sz w:val="32"/>
          <w:szCs w:val="32"/>
        </w:rPr>
        <w:t>10</w:t>
      </w:r>
      <w:r>
        <w:rPr>
          <w:rFonts w:ascii="Times New Roman" w:hAnsi="Times New Roman"/>
          <w:b w:val="0"/>
          <w:bCs w:val="0"/>
          <w:sz w:val="32"/>
          <w:szCs w:val="32"/>
        </w:rPr>
        <w:t>分，归侨、华侨子女、归侨子女和台湾省籍考生加</w:t>
      </w:r>
      <w:r>
        <w:rPr>
          <w:rFonts w:eastAsia="仿宋"/>
          <w:b w:val="0"/>
          <w:bCs w:val="0"/>
          <w:sz w:val="32"/>
          <w:szCs w:val="32"/>
        </w:rPr>
        <w:t>5</w:t>
      </w:r>
      <w:r>
        <w:rPr>
          <w:rFonts w:ascii="Times New Roman" w:hAnsi="Times New Roman"/>
          <w:b w:val="0"/>
          <w:bCs w:val="0"/>
          <w:sz w:val="32"/>
          <w:szCs w:val="32"/>
        </w:rPr>
        <w:t>分）。</w:t>
      </w:r>
    </w:p>
    <w:p w14:paraId="58C6A738">
      <w:pPr>
        <w:spacing w:before="0" w:after="0" w:line="560" w:lineRule="exact"/>
        <w:ind w:firstLine="640"/>
        <w:jc w:val="both"/>
      </w:pPr>
      <w:r>
        <w:rPr>
          <w:rFonts w:hint="eastAsia"/>
          <w:b w:val="0"/>
          <w:bCs w:val="0"/>
          <w:sz w:val="32"/>
          <w:szCs w:val="32"/>
          <w:lang w:eastAsia="zh-CN"/>
        </w:rPr>
        <w:t>3.</w:t>
      </w:r>
      <w:r>
        <w:rPr>
          <w:rFonts w:ascii="Times New Roman" w:hAnsi="Times New Roman"/>
          <w:b w:val="0"/>
          <w:bCs w:val="0"/>
          <w:sz w:val="32"/>
          <w:szCs w:val="32"/>
        </w:rPr>
        <w:t>免试政策：在校期间获得江西省职业院校技能大赛三等奖以上的应届毕业生，可按省教育厅规定程序申请免试就读高职院校相同或相近专业；</w:t>
      </w:r>
      <w:r>
        <w:rPr>
          <w:rFonts w:eastAsia="仿宋"/>
          <w:b w:val="0"/>
          <w:bCs w:val="0"/>
          <w:sz w:val="32"/>
          <w:szCs w:val="32"/>
        </w:rPr>
        <w:t>2027</w:t>
      </w:r>
      <w:r>
        <w:rPr>
          <w:rFonts w:ascii="Times New Roman" w:hAnsi="Times New Roman"/>
          <w:b w:val="0"/>
          <w:bCs w:val="0"/>
          <w:sz w:val="32"/>
          <w:szCs w:val="32"/>
        </w:rPr>
        <w:t>年技能大赛获奖选手免试政策继续保留。</w:t>
      </w:r>
    </w:p>
    <w:p w14:paraId="48612E8B">
      <w:pPr>
        <w:pStyle w:val="3"/>
      </w:pPr>
      <w:r>
        <w:rPr>
          <w:rFonts w:ascii="Times New Roman" w:hAnsi="Times New Roman"/>
          <w:sz w:val="32"/>
          <w:szCs w:val="32"/>
        </w:rPr>
        <w:t>（七）政策窗口期提示</w:t>
      </w:r>
    </w:p>
    <w:p w14:paraId="5CEF6F7A">
      <w:pPr>
        <w:spacing w:before="0" w:after="0" w:line="560" w:lineRule="exact"/>
        <w:ind w:firstLine="640"/>
        <w:jc w:val="both"/>
      </w:pPr>
      <w:r>
        <w:rPr>
          <w:rFonts w:eastAsia="仿宋"/>
          <w:b w:val="0"/>
          <w:bCs w:val="0"/>
          <w:sz w:val="32"/>
          <w:szCs w:val="32"/>
        </w:rPr>
        <w:t>2028</w:t>
      </w:r>
      <w:r>
        <w:rPr>
          <w:rFonts w:ascii="Times New Roman" w:hAnsi="Times New Roman"/>
          <w:b w:val="0"/>
          <w:bCs w:val="0"/>
          <w:sz w:val="32"/>
          <w:szCs w:val="32"/>
        </w:rPr>
        <w:t>年起我省正式实施职教高考，文化素质考试增设外语科目</w:t>
      </w:r>
      <w:r>
        <w:rPr>
          <w:rFonts w:hint="eastAsia"/>
          <w:b w:val="0"/>
          <w:bCs w:val="0"/>
          <w:sz w:val="32"/>
          <w:szCs w:val="32"/>
          <w:lang w:eastAsia="zh-CN"/>
        </w:rPr>
        <w:t>，</w:t>
      </w:r>
      <w:r>
        <w:rPr>
          <w:rFonts w:ascii="Times New Roman" w:hAnsi="Times New Roman"/>
          <w:b w:val="0"/>
          <w:bCs w:val="0"/>
          <w:sz w:val="32"/>
          <w:szCs w:val="32"/>
        </w:rPr>
        <w:t>总分调整为</w:t>
      </w:r>
      <w:r>
        <w:rPr>
          <w:rFonts w:eastAsia="仿宋"/>
          <w:b w:val="0"/>
          <w:bCs w:val="0"/>
          <w:sz w:val="32"/>
          <w:szCs w:val="32"/>
        </w:rPr>
        <w:t>750</w:t>
      </w:r>
      <w:r>
        <w:rPr>
          <w:rFonts w:ascii="Times New Roman" w:hAnsi="Times New Roman"/>
          <w:b w:val="0"/>
          <w:bCs w:val="0"/>
          <w:sz w:val="32"/>
          <w:szCs w:val="32"/>
        </w:rPr>
        <w:t>分，考试科目更多</w:t>
      </w:r>
      <w:r>
        <w:rPr>
          <w:rFonts w:hint="eastAsia"/>
          <w:b w:val="0"/>
          <w:bCs w:val="0"/>
          <w:sz w:val="32"/>
          <w:szCs w:val="32"/>
          <w:lang w:eastAsia="zh-CN"/>
        </w:rPr>
        <w:t>，</w:t>
      </w:r>
      <w:r>
        <w:rPr>
          <w:rFonts w:ascii="Times New Roman" w:hAnsi="Times New Roman"/>
          <w:b w:val="0"/>
          <w:bCs w:val="0"/>
          <w:sz w:val="32"/>
          <w:szCs w:val="32"/>
        </w:rPr>
        <w:t>整体难度提升。</w:t>
      </w:r>
      <w:r>
        <w:rPr>
          <w:rFonts w:eastAsia="仿宋"/>
          <w:b w:val="0"/>
          <w:bCs w:val="0"/>
          <w:sz w:val="32"/>
          <w:szCs w:val="32"/>
        </w:rPr>
        <w:t>2027</w:t>
      </w:r>
      <w:r>
        <w:rPr>
          <w:rFonts w:ascii="Times New Roman" w:hAnsi="Times New Roman"/>
          <w:b w:val="0"/>
          <w:bCs w:val="0"/>
          <w:sz w:val="32"/>
          <w:szCs w:val="32"/>
        </w:rPr>
        <w:t>年单招是我省高职单招的收官批次，也是“不考英语、总分</w:t>
      </w:r>
      <w:r>
        <w:rPr>
          <w:rFonts w:eastAsia="仿宋"/>
          <w:b w:val="0"/>
          <w:bCs w:val="0"/>
          <w:sz w:val="32"/>
          <w:szCs w:val="32"/>
        </w:rPr>
        <w:t>450</w:t>
      </w:r>
      <w:r>
        <w:rPr>
          <w:rFonts w:ascii="Times New Roman" w:hAnsi="Times New Roman"/>
          <w:b w:val="0"/>
          <w:bCs w:val="0"/>
          <w:sz w:val="32"/>
          <w:szCs w:val="32"/>
        </w:rPr>
        <w:t>分”的过渡年份。宣讲中应客观提示这一政策窗口期，引导考生和家长理性规划、及早决策。</w:t>
      </w:r>
    </w:p>
    <w:p w14:paraId="662C69C1">
      <w:pPr>
        <w:pStyle w:val="2"/>
      </w:pPr>
      <w:r>
        <w:rPr>
          <w:rFonts w:ascii="Times New Roman" w:hAnsi="Times New Roman"/>
          <w:sz w:val="32"/>
          <w:szCs w:val="32"/>
        </w:rPr>
        <w:t>十二、宣传纪律与咨询应答要点</w:t>
      </w:r>
    </w:p>
    <w:p w14:paraId="17F63E88">
      <w:pPr>
        <w:spacing w:before="0" w:after="0" w:line="560" w:lineRule="exact"/>
        <w:ind w:firstLine="640"/>
        <w:jc w:val="both"/>
      </w:pPr>
      <w:r>
        <w:rPr>
          <w:rFonts w:ascii="Times New Roman" w:hAnsi="Times New Roman"/>
          <w:b w:val="0"/>
          <w:bCs w:val="0"/>
          <w:sz w:val="32"/>
          <w:szCs w:val="32"/>
        </w:rPr>
        <w:t>本板块由招生处统一讲解，确保全体招宣人员口径一致、行为合规。</w:t>
      </w:r>
    </w:p>
    <w:p w14:paraId="6B194628">
      <w:pPr>
        <w:pStyle w:val="3"/>
      </w:pPr>
      <w:r>
        <w:rPr>
          <w:rFonts w:ascii="Times New Roman" w:hAnsi="Times New Roman"/>
          <w:sz w:val="32"/>
          <w:szCs w:val="32"/>
        </w:rPr>
        <w:t>（一）宣传纪律红线</w:t>
      </w:r>
    </w:p>
    <w:p w14:paraId="7241841C">
      <w:pPr>
        <w:spacing w:before="0" w:after="0" w:line="560" w:lineRule="exact"/>
        <w:ind w:firstLine="640"/>
        <w:jc w:val="both"/>
      </w:pPr>
      <w:r>
        <w:rPr>
          <w:rFonts w:hint="eastAsia"/>
          <w:b w:val="0"/>
          <w:bCs w:val="0"/>
          <w:sz w:val="32"/>
          <w:szCs w:val="32"/>
          <w:lang w:eastAsia="zh-CN"/>
        </w:rPr>
        <w:t>1.</w:t>
      </w:r>
      <w:r>
        <w:rPr>
          <w:rFonts w:ascii="Times New Roman" w:hAnsi="Times New Roman"/>
          <w:b w:val="0"/>
          <w:bCs w:val="0"/>
          <w:sz w:val="32"/>
          <w:szCs w:val="32"/>
        </w:rPr>
        <w:t>不得作出“包录取”“内部指标”“保证录取”“修改分数”等任何形式的违规承诺；</w:t>
      </w:r>
    </w:p>
    <w:p w14:paraId="10DAA0C6">
      <w:pPr>
        <w:spacing w:before="0" w:after="0" w:line="560" w:lineRule="exact"/>
        <w:ind w:firstLine="640"/>
        <w:jc w:val="both"/>
      </w:pPr>
      <w:r>
        <w:rPr>
          <w:rFonts w:hint="eastAsia"/>
          <w:b w:val="0"/>
          <w:bCs w:val="0"/>
          <w:sz w:val="32"/>
          <w:szCs w:val="32"/>
          <w:lang w:eastAsia="zh-CN"/>
        </w:rPr>
        <w:t>2.</w:t>
      </w:r>
      <w:r>
        <w:rPr>
          <w:rFonts w:ascii="Times New Roman" w:hAnsi="Times New Roman"/>
          <w:b w:val="0"/>
          <w:bCs w:val="0"/>
          <w:sz w:val="32"/>
          <w:szCs w:val="32"/>
        </w:rPr>
        <w:t>不得收取或变相收取与录取挂钩的任何费用；</w:t>
      </w:r>
    </w:p>
    <w:p w14:paraId="2CE4D693">
      <w:pPr>
        <w:spacing w:before="0" w:after="0" w:line="560" w:lineRule="exact"/>
        <w:ind w:firstLine="640"/>
        <w:jc w:val="both"/>
      </w:pPr>
      <w:r>
        <w:rPr>
          <w:rFonts w:hint="eastAsia"/>
          <w:b w:val="0"/>
          <w:bCs w:val="0"/>
          <w:sz w:val="32"/>
          <w:szCs w:val="32"/>
          <w:lang w:eastAsia="zh-CN"/>
        </w:rPr>
        <w:t>3.</w:t>
      </w:r>
      <w:r>
        <w:rPr>
          <w:rFonts w:ascii="Times New Roman" w:hAnsi="Times New Roman"/>
          <w:b w:val="0"/>
          <w:bCs w:val="0"/>
          <w:sz w:val="32"/>
          <w:szCs w:val="32"/>
        </w:rPr>
        <w:t>不得发布未经学院招生处审核的招生信息，不得擅自使用学院标识、名义对外发布宣传内容。</w:t>
      </w:r>
    </w:p>
    <w:p w14:paraId="7559FE5B">
      <w:pPr>
        <w:pStyle w:val="3"/>
      </w:pPr>
      <w:r>
        <w:rPr>
          <w:rFonts w:ascii="Times New Roman" w:hAnsi="Times New Roman"/>
          <w:sz w:val="32"/>
          <w:szCs w:val="32"/>
        </w:rPr>
        <w:t>（二）统一咨询口径</w:t>
      </w:r>
    </w:p>
    <w:p w14:paraId="780467D1">
      <w:pPr>
        <w:spacing w:before="0" w:after="0" w:line="560" w:lineRule="exact"/>
        <w:ind w:firstLine="640"/>
        <w:jc w:val="both"/>
      </w:pPr>
      <w:r>
        <w:rPr>
          <w:rFonts w:ascii="Times New Roman" w:hAnsi="Times New Roman"/>
          <w:b w:val="0"/>
          <w:bCs w:val="0"/>
          <w:sz w:val="32"/>
          <w:szCs w:val="32"/>
        </w:rPr>
        <w:t>学院国标代码</w:t>
      </w:r>
      <w:r>
        <w:rPr>
          <w:rFonts w:eastAsia="仿宋"/>
          <w:b w:val="0"/>
          <w:bCs w:val="0"/>
          <w:sz w:val="32"/>
          <w:szCs w:val="32"/>
        </w:rPr>
        <w:t>14837</w:t>
      </w:r>
      <w:r>
        <w:rPr>
          <w:rFonts w:ascii="Times New Roman" w:hAnsi="Times New Roman"/>
          <w:b w:val="0"/>
          <w:bCs w:val="0"/>
          <w:sz w:val="32"/>
          <w:szCs w:val="32"/>
        </w:rPr>
        <w:t>、省内单招报考代码</w:t>
      </w:r>
      <w:r>
        <w:rPr>
          <w:rFonts w:eastAsia="仿宋"/>
          <w:b w:val="0"/>
          <w:bCs w:val="0"/>
          <w:sz w:val="32"/>
          <w:szCs w:val="32"/>
        </w:rPr>
        <w:t>8698</w:t>
      </w:r>
      <w:r>
        <w:rPr>
          <w:rFonts w:ascii="Times New Roman" w:hAnsi="Times New Roman"/>
          <w:b w:val="0"/>
          <w:bCs w:val="0"/>
          <w:sz w:val="32"/>
          <w:szCs w:val="32"/>
        </w:rPr>
        <w:t>、办学地址、招生专业、学费标准（按物价部门核定标准执行）、资助政策等关键信息，一律以学院招生处审定的对外口径为准，不得自行表述或口头承诺。</w:t>
      </w:r>
    </w:p>
    <w:p w14:paraId="12F706A4">
      <w:pPr>
        <w:pStyle w:val="3"/>
      </w:pPr>
      <w:r>
        <w:rPr>
          <w:rFonts w:ascii="Times New Roman" w:hAnsi="Times New Roman"/>
          <w:sz w:val="32"/>
          <w:szCs w:val="32"/>
        </w:rPr>
        <w:t>（三）咨询应答“三个必答”</w:t>
      </w:r>
    </w:p>
    <w:p w14:paraId="78F1F90D">
      <w:pPr>
        <w:spacing w:before="0" w:after="0" w:line="560" w:lineRule="exact"/>
        <w:ind w:firstLine="640"/>
        <w:jc w:val="both"/>
      </w:pPr>
      <w:r>
        <w:rPr>
          <w:rFonts w:hint="eastAsia"/>
          <w:b w:val="0"/>
          <w:bCs w:val="0"/>
          <w:sz w:val="32"/>
          <w:szCs w:val="32"/>
          <w:lang w:eastAsia="zh-CN"/>
        </w:rPr>
        <w:t>1.</w:t>
      </w:r>
      <w:r>
        <w:rPr>
          <w:rFonts w:ascii="Times New Roman" w:hAnsi="Times New Roman"/>
          <w:b w:val="0"/>
          <w:bCs w:val="0"/>
          <w:sz w:val="32"/>
          <w:szCs w:val="32"/>
        </w:rPr>
        <w:t>政策变化必答：</w:t>
      </w:r>
      <w:r>
        <w:rPr>
          <w:rFonts w:eastAsia="仿宋"/>
          <w:b w:val="0"/>
          <w:bCs w:val="0"/>
          <w:sz w:val="32"/>
          <w:szCs w:val="32"/>
        </w:rPr>
        <w:t>2027</w:t>
      </w:r>
      <w:r>
        <w:rPr>
          <w:rFonts w:ascii="Times New Roman" w:hAnsi="Times New Roman"/>
          <w:b w:val="0"/>
          <w:bCs w:val="0"/>
          <w:sz w:val="32"/>
          <w:szCs w:val="32"/>
        </w:rPr>
        <w:t>年职业技能考试改为全省统考</w:t>
      </w:r>
      <w:r>
        <w:rPr>
          <w:rFonts w:hint="eastAsia"/>
          <w:b w:val="0"/>
          <w:bCs w:val="0"/>
          <w:sz w:val="32"/>
          <w:szCs w:val="32"/>
          <w:lang w:eastAsia="zh-CN"/>
        </w:rPr>
        <w:t>，</w:t>
      </w:r>
      <w:r>
        <w:rPr>
          <w:rFonts w:ascii="Times New Roman" w:hAnsi="Times New Roman"/>
          <w:b w:val="0"/>
          <w:bCs w:val="0"/>
          <w:sz w:val="32"/>
          <w:szCs w:val="32"/>
        </w:rPr>
        <w:t>录取改为平行志愿投档；</w:t>
      </w:r>
    </w:p>
    <w:p w14:paraId="7B82ED52">
      <w:pPr>
        <w:spacing w:before="0" w:after="0" w:line="560" w:lineRule="exact"/>
        <w:ind w:firstLine="640"/>
        <w:jc w:val="both"/>
      </w:pPr>
      <w:r>
        <w:rPr>
          <w:rFonts w:hint="eastAsia"/>
          <w:b w:val="0"/>
          <w:bCs w:val="0"/>
          <w:sz w:val="32"/>
          <w:szCs w:val="32"/>
          <w:lang w:eastAsia="zh-CN"/>
        </w:rPr>
        <w:t>2.</w:t>
      </w:r>
      <w:r>
        <w:rPr>
          <w:rFonts w:ascii="Times New Roman" w:hAnsi="Times New Roman"/>
          <w:b w:val="0"/>
          <w:bCs w:val="0"/>
          <w:sz w:val="32"/>
          <w:szCs w:val="32"/>
        </w:rPr>
        <w:t>时间节点必答：高考报名与补报名、体检、</w:t>
      </w:r>
      <w:r>
        <w:rPr>
          <w:rFonts w:eastAsia="仿宋"/>
          <w:b w:val="0"/>
          <w:bCs w:val="0"/>
          <w:sz w:val="32"/>
          <w:szCs w:val="32"/>
        </w:rPr>
        <w:t>3</w:t>
      </w:r>
      <w:r>
        <w:rPr>
          <w:rFonts w:ascii="Times New Roman" w:hAnsi="Times New Roman"/>
          <w:b w:val="0"/>
          <w:bCs w:val="0"/>
          <w:sz w:val="32"/>
          <w:szCs w:val="32"/>
        </w:rPr>
        <w:t>月考试、</w:t>
      </w:r>
      <w:r>
        <w:rPr>
          <w:rFonts w:eastAsia="仿宋"/>
          <w:b w:val="0"/>
          <w:bCs w:val="0"/>
          <w:sz w:val="32"/>
          <w:szCs w:val="32"/>
        </w:rPr>
        <w:t>4</w:t>
      </w:r>
      <w:r>
        <w:rPr>
          <w:rFonts w:ascii="Times New Roman" w:hAnsi="Times New Roman"/>
          <w:b w:val="0"/>
          <w:bCs w:val="0"/>
          <w:sz w:val="32"/>
          <w:szCs w:val="32"/>
        </w:rPr>
        <w:t>月填报志愿与录取等关键节点；</w:t>
      </w:r>
    </w:p>
    <w:p w14:paraId="4D122406">
      <w:pPr>
        <w:spacing w:before="0" w:after="0" w:line="560" w:lineRule="exact"/>
        <w:ind w:firstLine="640"/>
        <w:jc w:val="both"/>
      </w:pPr>
      <w:r>
        <w:rPr>
          <w:rFonts w:hint="eastAsia"/>
          <w:b w:val="0"/>
          <w:bCs w:val="0"/>
          <w:sz w:val="32"/>
          <w:szCs w:val="32"/>
          <w:lang w:eastAsia="zh-CN"/>
        </w:rPr>
        <w:t>3.</w:t>
      </w:r>
      <w:r>
        <w:rPr>
          <w:rFonts w:ascii="Times New Roman" w:hAnsi="Times New Roman"/>
          <w:b w:val="0"/>
          <w:bCs w:val="0"/>
          <w:sz w:val="32"/>
          <w:szCs w:val="32"/>
        </w:rPr>
        <w:t>待遇与约束必答：单招录取考生与统考录取考生享受同等待遇；一经录取，不再参加当年统一高考及录取。</w:t>
      </w:r>
    </w:p>
    <w:p w14:paraId="49363610">
      <w:pPr>
        <w:pStyle w:val="3"/>
      </w:pPr>
      <w:r>
        <w:rPr>
          <w:rFonts w:ascii="Times New Roman" w:hAnsi="Times New Roman"/>
          <w:sz w:val="32"/>
          <w:szCs w:val="32"/>
        </w:rPr>
        <w:t>（四）生源信息登记与跟进</w:t>
      </w:r>
    </w:p>
    <w:p w14:paraId="4FD0CDF1">
      <w:pPr>
        <w:spacing w:before="0" w:after="0" w:line="560" w:lineRule="exact"/>
        <w:ind w:firstLine="640"/>
        <w:jc w:val="both"/>
      </w:pPr>
      <w:r>
        <w:rPr>
          <w:rFonts w:ascii="Times New Roman" w:hAnsi="Times New Roman"/>
          <w:b w:val="0"/>
          <w:bCs w:val="0"/>
          <w:sz w:val="32"/>
          <w:szCs w:val="32"/>
        </w:rPr>
        <w:t>建立意向考生台账，完整登记考生姓名、就读学校、意向专业、联系方式等信息，明确专人负责，按周跟进回访，形成“登记—跟进—反馈—转化”的闭环管理。</w:t>
      </w:r>
    </w:p>
    <w:sectPr>
      <w:footerReference r:id="rId5" w:type="default"/>
      <w:pgSz w:w="11906" w:h="16838"/>
      <w:pgMar w:top="2098" w:right="1474" w:bottom="1984" w:left="1587" w:header="0" w:footer="708" w:gutter="0"/>
      <w:pgNumType w:fmt="decimal" w:start="1"/>
      <w:cols w:space="720" w:num="1"/>
      <w:formProt w:val="0"/>
      <w:docGrid w:linePitch="360" w:charSpace="-1638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FreeSans">
    <w:altName w:val="苹方-简"/>
    <w:panose1 w:val="00000000000000000000"/>
    <w:charset w:val="00"/>
    <w:family w:val="auto"/>
    <w:pitch w:val="default"/>
    <w:sig w:usb0="00000000" w:usb1="00000000" w:usb2="00000000" w:usb3="00000000" w:csb0="00000000" w:csb1="00000000"/>
  </w:font>
  <w:font w:name="Segoe Print">
    <w:altName w:val="苹方-简"/>
    <w:panose1 w:val="00000000000000000000"/>
    <w:charset w:val="00"/>
    <w:family w:val="auto"/>
    <w:pitch w:val="default"/>
    <w:sig w:usb0="00000000" w:usb1="00000000" w:usb2="00000000" w:usb3="00000000" w:csb0="00000000" w:csb1="00000000"/>
  </w:font>
  <w:font w:name="仿宋">
    <w:altName w:val="仿宋-简"/>
    <w:panose1 w:val="02010609060101010101"/>
    <w:charset w:val="86"/>
    <w:family w:val="auto"/>
    <w:pitch w:val="default"/>
    <w:sig w:usb0="00000000" w:usb1="00000000" w:usb2="00000016" w:usb3="00000000" w:csb0="00040001" w:csb1="00000000"/>
  </w:font>
  <w:font w:name="楷体">
    <w:altName w:val="汉仪楷体KW"/>
    <w:panose1 w:val="02010609060101010101"/>
    <w:charset w:val="86"/>
    <w:family w:val="auto"/>
    <w:pitch w:val="default"/>
    <w:sig w:usb0="00000000" w:usb1="00000000" w:usb2="00000016" w:usb3="00000000" w:csb0="00040001" w:csb1="00000000"/>
  </w:font>
  <w:font w:name="Liberation Sans">
    <w:altName w:val="Thonburi"/>
    <w:panose1 w:val="00000000000000000000"/>
    <w:charset w:val="01"/>
    <w:family w:val="swiss"/>
    <w:pitch w:val="default"/>
    <w:sig w:usb0="00000000" w:usb1="00000000" w:usb2="00000000" w:usb3="00000000" w:csb0="00000000" w:csb1="00000000"/>
  </w:font>
  <w:font w:name="Noto Sans CJK SC">
    <w:altName w:val="苹方-简"/>
    <w:panose1 w:val="00000000000000000000"/>
    <w:charset w:val="00"/>
    <w:family w:val="auto"/>
    <w:pitch w:val="default"/>
    <w:sig w:usb0="00000000" w:usb1="00000000" w:usb2="00000000" w:usb3="00000000" w:csb0="00000000" w:csb1="00000000"/>
  </w:font>
  <w:font w:name="仿宋-简">
    <w:panose1 w:val="02010609060101010101"/>
    <w:charset w:val="86"/>
    <w:family w:val="auto"/>
    <w:pitch w:val="default"/>
    <w:sig w:usb0="A00002BF" w:usb1="3A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汉仪楷体KW">
    <w:panose1 w:val="00020600040101010101"/>
    <w:charset w:val="86"/>
    <w:family w:val="auto"/>
    <w:pitch w:val="default"/>
    <w:sig w:usb0="A00002BF" w:usb1="18EF7CFA" w:usb2="00000016" w:usb3="00000000" w:csb0="00040000" w:csb1="00000000"/>
  </w:font>
  <w:font w:name="汉仪书宋二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 w:name="Thonburi">
    <w:panose1 w:val="00000400000000000000"/>
    <w:charset w:val="00"/>
    <w:family w:val="auto"/>
    <w:pitch w:val="default"/>
    <w:sig w:usb0="01000000" w:usb1="00000000" w:usb2="00000000" w:usb3="00000000" w:csb0="20000193" w:csb1="4D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E1C1D">
    <w:pPr>
      <w:spacing w:line="300" w:lineRule="exact"/>
      <w:jc w:val="center"/>
    </w:pPr>
    <w:r>
      <w:rPr>
        <w:rFonts w:eastAsia="仿宋"/>
        <w:sz w:val="21"/>
        <w:szCs w:val="21"/>
      </w:rPr>
      <w:fldChar w:fldCharType="begin"/>
    </w:r>
    <w:r>
      <w:rPr>
        <w:rFonts w:eastAsia="仿宋"/>
        <w:sz w:val="21"/>
        <w:szCs w:val="21"/>
      </w:rPr>
      <w:instrText xml:space="preserve"> PAGE </w:instrText>
    </w:r>
    <w:r>
      <w:rPr>
        <w:rFonts w:eastAsia="仿宋"/>
        <w:sz w:val="21"/>
        <w:szCs w:val="21"/>
      </w:rPr>
      <w:fldChar w:fldCharType="separate"/>
    </w:r>
    <w:r>
      <w:rPr>
        <w:rFonts w:eastAsia="仿宋"/>
        <w:sz w:val="21"/>
        <w:szCs w:val="21"/>
      </w:rPr>
      <w:t>14</w:t>
    </w:r>
    <w:r>
      <w:rPr>
        <w:rFonts w:eastAsia="仿宋"/>
        <w:sz w:val="21"/>
        <w:szCs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6"/>
  <w:documentProtection w:enforcement="0"/>
  <w:defaultTabStop w:val="720"/>
  <w:autoHyphenation/>
  <w:footnotePr>
    <w:footnote w:id="0"/>
    <w:footnote w:id="1"/>
  </w:footnotePr>
  <w:endnotePr>
    <w:endnote w:id="0"/>
    <w:endnote w:id="1"/>
  </w:endnotePr>
  <w:compat>
    <w:useFELayout/>
    <w:compatSetting w:name="compatibilityMode" w:uri="http://schemas.microsoft.com/office/word" w:val="15"/>
  </w:compat>
  <w:rsids>
    <w:rsidRoot w:val="00000000"/>
    <w:rsid w:val="36805E21"/>
    <w:rsid w:val="658C31D2"/>
    <w:rsid w:val="6FFFB5B0"/>
    <w:rsid w:val="75EDE0CF"/>
    <w:rsid w:val="7B6FD93D"/>
    <w:rsid w:val="7BEF4AD5"/>
    <w:rsid w:val="AFDA1783"/>
    <w:rsid w:val="DBFF6AE8"/>
    <w:rsid w:val="DFEF176C"/>
    <w:rsid w:val="F5EBCA5A"/>
    <w:rsid w:val="F79B3C38"/>
    <w:rsid w:val="F7FDDF57"/>
    <w:rsid w:val="FFFF4D31"/>
  </w:rsids>
  <m:mathPr>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仿宋" w:cs="Free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name="toc 1"/>
    <w:lsdException w:qFormat="1" w:uiPriority="39" w:name="toc 2"/>
    <w:lsdException w:qFormat="1" w:uiPriority="39" w:name="toc 3"/>
    <w:lsdException w:qFormat="1" w:uiPriority="39" w:name="toc 4"/>
    <w:lsdException w:qFormat="1" w:uiPriority="39" w:name="toc 5"/>
    <w:lsdException w:qFormat="1" w:uiPriority="39" w:name="toc 6"/>
    <w:lsdException w:qFormat="1" w:uiPriority="39" w:name="toc 7"/>
    <w:lsdException w:qFormat="1" w:uiPriority="39" w:name="toc 8"/>
    <w:lsdException w:qFormat="1" w:uiPriority="39"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qFormat="1" w:uiPriority="99" w:name="line number"/>
    <w:lsdException w:unhideWhenUsed="0" w:uiPriority="0" w:semiHidden="0" w:name="page number"/>
    <w:lsdException w:unhideWhenUsed="0" w:uiPriority="0" w:semiHidden="0"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suppressAutoHyphens/>
      <w:bidi w:val="0"/>
      <w:spacing w:before="0" w:after="0" w:line="560" w:lineRule="exact"/>
      <w:jc w:val="left"/>
    </w:pPr>
    <w:rPr>
      <w:rFonts w:ascii="Times New Roman" w:hAnsi="Times New Roman" w:eastAsia="仿宋" w:cs="FreeSans"/>
      <w:color w:val="auto"/>
      <w:kern w:val="0"/>
      <w:sz w:val="32"/>
      <w:szCs w:val="32"/>
      <w:lang w:val="en-US" w:eastAsia="zh-CN" w:bidi="hi-IN"/>
    </w:rPr>
  </w:style>
  <w:style w:type="paragraph" w:styleId="2">
    <w:name w:val="heading 1"/>
    <w:basedOn w:val="1"/>
    <w:next w:val="1"/>
    <w:qFormat/>
    <w:uiPriority w:val="0"/>
    <w:pPr>
      <w:spacing w:before="240" w:after="120" w:line="560" w:lineRule="exact"/>
      <w:ind w:firstLine="0"/>
      <w:outlineLvl w:val="0"/>
    </w:pPr>
    <w:rPr>
      <w:rFonts w:ascii="Times New Roman" w:hAnsi="Times New Roman" w:eastAsia="黑体"/>
      <w:sz w:val="32"/>
      <w:szCs w:val="32"/>
    </w:rPr>
  </w:style>
  <w:style w:type="paragraph" w:styleId="3">
    <w:name w:val="heading 2"/>
    <w:basedOn w:val="1"/>
    <w:next w:val="1"/>
    <w:qFormat/>
    <w:uiPriority w:val="0"/>
    <w:pPr>
      <w:spacing w:before="120" w:after="60" w:line="560" w:lineRule="exact"/>
      <w:ind w:firstLine="0"/>
      <w:outlineLvl w:val="1"/>
    </w:pPr>
    <w:rPr>
      <w:rFonts w:ascii="Times New Roman" w:hAnsi="Times New Roman" w:eastAsia="楷体"/>
      <w:sz w:val="32"/>
      <w:szCs w:val="32"/>
    </w:rPr>
  </w:style>
  <w:style w:type="paragraph" w:styleId="4">
    <w:name w:val="heading 3"/>
    <w:basedOn w:val="1"/>
    <w:next w:val="1"/>
    <w:qFormat/>
    <w:uiPriority w:val="0"/>
    <w:rPr>
      <w:color w:val="1F4D78"/>
      <w:sz w:val="24"/>
      <w:szCs w:val="24"/>
    </w:rPr>
  </w:style>
  <w:style w:type="paragraph" w:styleId="5">
    <w:name w:val="heading 4"/>
    <w:basedOn w:val="1"/>
    <w:next w:val="1"/>
    <w:qFormat/>
    <w:uiPriority w:val="0"/>
    <w:rPr>
      <w:i/>
      <w:iCs/>
      <w:color w:val="2E74B5"/>
    </w:rPr>
  </w:style>
  <w:style w:type="paragraph" w:styleId="6">
    <w:name w:val="heading 5"/>
    <w:basedOn w:val="1"/>
    <w:next w:val="1"/>
    <w:qFormat/>
    <w:uiPriority w:val="0"/>
    <w:rPr>
      <w:color w:val="2E74B5"/>
    </w:rPr>
  </w:style>
  <w:style w:type="paragraph" w:styleId="7">
    <w:name w:val="heading 6"/>
    <w:basedOn w:val="1"/>
    <w:next w:val="1"/>
    <w:qFormat/>
    <w:uiPriority w:val="0"/>
    <w:rPr>
      <w:color w:val="1F4D78"/>
    </w:rPr>
  </w:style>
  <w:style w:type="character" w:default="1" w:styleId="26">
    <w:name w:val="Default Paragraph Font"/>
    <w:semiHidden/>
    <w:uiPriority w:val="0"/>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8">
    <w:name w:val="toc 7"/>
    <w:basedOn w:val="1"/>
    <w:next w:val="1"/>
    <w:semiHidden/>
    <w:unhideWhenUsed/>
    <w:qFormat/>
    <w:uiPriority w:val="39"/>
    <w:pPr>
      <w:spacing w:before="0" w:after="100"/>
      <w:ind w:left="1920" w:firstLine="0"/>
    </w:pPr>
  </w:style>
  <w:style w:type="paragraph" w:styleId="9">
    <w:name w:val="caption"/>
    <w:basedOn w:val="1"/>
    <w:semiHidden/>
    <w:unhideWhenUsed/>
    <w:qFormat/>
    <w:uiPriority w:val="35"/>
    <w:pPr>
      <w:spacing w:before="0" w:after="200"/>
    </w:pPr>
    <w:rPr>
      <w:i/>
      <w:iCs/>
      <w:color w:val="44546A" w:themeColor="dark2"/>
      <w:sz w:val="18"/>
      <w:szCs w:val="18"/>
      <w14:textFill>
        <w14:solidFill>
          <w14:schemeClr w14:val="dk2"/>
        </w14:solidFill>
      </w14:textFill>
    </w:rPr>
  </w:style>
  <w:style w:type="paragraph" w:styleId="10">
    <w:name w:val="Body Text"/>
    <w:basedOn w:val="1"/>
    <w:qFormat/>
    <w:uiPriority w:val="0"/>
    <w:pPr>
      <w:spacing w:before="0" w:after="140" w:line="276" w:lineRule="auto"/>
    </w:pPr>
  </w:style>
  <w:style w:type="paragraph" w:styleId="11">
    <w:name w:val="toc 5"/>
    <w:basedOn w:val="1"/>
    <w:next w:val="1"/>
    <w:semiHidden/>
    <w:unhideWhenUsed/>
    <w:qFormat/>
    <w:uiPriority w:val="39"/>
    <w:pPr>
      <w:spacing w:before="0" w:after="100"/>
      <w:ind w:left="1280" w:firstLine="0"/>
    </w:pPr>
  </w:style>
  <w:style w:type="paragraph" w:styleId="12">
    <w:name w:val="toc 3"/>
    <w:basedOn w:val="1"/>
    <w:next w:val="1"/>
    <w:semiHidden/>
    <w:unhideWhenUsed/>
    <w:qFormat/>
    <w:uiPriority w:val="39"/>
    <w:pPr>
      <w:spacing w:before="0" w:after="100"/>
      <w:ind w:left="640" w:firstLine="0"/>
    </w:pPr>
  </w:style>
  <w:style w:type="paragraph" w:styleId="13">
    <w:name w:val="toc 8"/>
    <w:basedOn w:val="1"/>
    <w:next w:val="1"/>
    <w:semiHidden/>
    <w:unhideWhenUsed/>
    <w:qFormat/>
    <w:uiPriority w:val="39"/>
    <w:pPr>
      <w:spacing w:before="0" w:after="100"/>
      <w:ind w:left="2240" w:firstLine="0"/>
    </w:pPr>
  </w:style>
  <w:style w:type="paragraph" w:styleId="14">
    <w:name w:val="endnote text"/>
    <w:basedOn w:val="1"/>
    <w:link w:val="34"/>
    <w:semiHidden/>
    <w:unhideWhenUsed/>
    <w:qFormat/>
    <w:uiPriority w:val="99"/>
    <w:pPr>
      <w:spacing w:before="0" w:after="0" w:line="240" w:lineRule="auto"/>
    </w:pPr>
    <w:rPr>
      <w:sz w:val="20"/>
      <w:szCs w:val="20"/>
    </w:rPr>
  </w:style>
  <w:style w:type="paragraph" w:styleId="15">
    <w:name w:val="footer"/>
    <w:basedOn w:val="16"/>
    <w:qFormat/>
    <w:uiPriority w:val="0"/>
  </w:style>
  <w:style w:type="paragraph" w:customStyle="1" w:styleId="16">
    <w:name w:val="Header and Footer"/>
    <w:basedOn w:val="1"/>
    <w:qFormat/>
    <w:uiPriority w:val="0"/>
  </w:style>
  <w:style w:type="paragraph" w:styleId="17">
    <w:name w:val="toc 1"/>
    <w:basedOn w:val="1"/>
    <w:next w:val="1"/>
    <w:semiHidden/>
    <w:unhideWhenUsed/>
    <w:qFormat/>
    <w:uiPriority w:val="39"/>
    <w:pPr>
      <w:spacing w:before="0" w:after="100"/>
    </w:pPr>
  </w:style>
  <w:style w:type="paragraph" w:styleId="18">
    <w:name w:val="toc 4"/>
    <w:basedOn w:val="1"/>
    <w:next w:val="1"/>
    <w:semiHidden/>
    <w:unhideWhenUsed/>
    <w:qFormat/>
    <w:uiPriority w:val="39"/>
    <w:pPr>
      <w:spacing w:before="0" w:after="100"/>
      <w:ind w:left="960" w:firstLine="0"/>
    </w:pPr>
  </w:style>
  <w:style w:type="paragraph" w:styleId="19">
    <w:name w:val="List"/>
    <w:basedOn w:val="10"/>
    <w:uiPriority w:val="0"/>
    <w:rPr>
      <w:rFonts w:cs="FreeSans"/>
    </w:rPr>
  </w:style>
  <w:style w:type="paragraph" w:styleId="20">
    <w:name w:val="footnote text"/>
    <w:basedOn w:val="1"/>
    <w:link w:val="31"/>
    <w:semiHidden/>
    <w:unhideWhenUsed/>
    <w:qFormat/>
    <w:uiPriority w:val="99"/>
    <w:pPr>
      <w:spacing w:before="0" w:after="0" w:line="240" w:lineRule="auto"/>
    </w:pPr>
    <w:rPr>
      <w:sz w:val="20"/>
      <w:szCs w:val="20"/>
    </w:rPr>
  </w:style>
  <w:style w:type="paragraph" w:styleId="21">
    <w:name w:val="toc 6"/>
    <w:basedOn w:val="1"/>
    <w:next w:val="1"/>
    <w:semiHidden/>
    <w:unhideWhenUsed/>
    <w:qFormat/>
    <w:uiPriority w:val="39"/>
    <w:pPr>
      <w:spacing w:before="0" w:after="100"/>
      <w:ind w:left="1600" w:firstLine="0"/>
    </w:pPr>
  </w:style>
  <w:style w:type="paragraph" w:styleId="22">
    <w:name w:val="toc 2"/>
    <w:basedOn w:val="1"/>
    <w:next w:val="1"/>
    <w:semiHidden/>
    <w:unhideWhenUsed/>
    <w:qFormat/>
    <w:uiPriority w:val="39"/>
    <w:pPr>
      <w:spacing w:before="0" w:after="100"/>
      <w:ind w:left="320" w:firstLine="0"/>
    </w:pPr>
  </w:style>
  <w:style w:type="paragraph" w:styleId="23">
    <w:name w:val="toc 9"/>
    <w:basedOn w:val="1"/>
    <w:next w:val="1"/>
    <w:semiHidden/>
    <w:unhideWhenUsed/>
    <w:qFormat/>
    <w:uiPriority w:val="39"/>
    <w:pPr>
      <w:spacing w:before="0" w:after="100"/>
      <w:ind w:left="2560" w:firstLine="0"/>
    </w:pPr>
  </w:style>
  <w:style w:type="paragraph" w:styleId="24">
    <w:name w:val="Title"/>
    <w:basedOn w:val="1"/>
    <w:next w:val="1"/>
    <w:qFormat/>
    <w:uiPriority w:val="0"/>
    <w:rPr>
      <w:sz w:val="56"/>
      <w:szCs w:val="56"/>
    </w:rPr>
  </w:style>
  <w:style w:type="character" w:styleId="27">
    <w:name w:val="line number"/>
    <w:semiHidden/>
    <w:unhideWhenUsed/>
    <w:qFormat/>
    <w:uiPriority w:val="99"/>
  </w:style>
  <w:style w:type="character" w:styleId="28">
    <w:name w:val="Hyperlink"/>
    <w:unhideWhenUsed/>
    <w:uiPriority w:val="99"/>
    <w:rPr>
      <w:color w:val="0563C1"/>
      <w:u w:val="single"/>
    </w:rPr>
  </w:style>
  <w:style w:type="character" w:customStyle="1" w:styleId="29">
    <w:name w:val="Footnote Characters"/>
    <w:semiHidden/>
    <w:unhideWhenUsed/>
    <w:qFormat/>
    <w:uiPriority w:val="99"/>
    <w:rPr>
      <w:vertAlign w:val="superscript"/>
    </w:rPr>
  </w:style>
  <w:style w:type="character" w:customStyle="1" w:styleId="30">
    <w:name w:val="Footnote Anchor"/>
    <w:qFormat/>
    <w:uiPriority w:val="0"/>
    <w:rPr>
      <w:vertAlign w:val="superscript"/>
    </w:rPr>
  </w:style>
  <w:style w:type="character" w:customStyle="1" w:styleId="31">
    <w:name w:val="Footnote Text Char"/>
    <w:link w:val="20"/>
    <w:semiHidden/>
    <w:unhideWhenUsed/>
    <w:qFormat/>
    <w:uiPriority w:val="99"/>
    <w:rPr>
      <w:sz w:val="20"/>
      <w:szCs w:val="20"/>
    </w:rPr>
  </w:style>
  <w:style w:type="character" w:customStyle="1" w:styleId="32">
    <w:name w:val="Endnote Characters"/>
    <w:semiHidden/>
    <w:unhideWhenUsed/>
    <w:qFormat/>
    <w:uiPriority w:val="99"/>
    <w:rPr>
      <w:vertAlign w:val="superscript"/>
    </w:rPr>
  </w:style>
  <w:style w:type="character" w:customStyle="1" w:styleId="33">
    <w:name w:val="Endnote Anchor"/>
    <w:qFormat/>
    <w:uiPriority w:val="0"/>
    <w:rPr>
      <w:vertAlign w:val="superscript"/>
    </w:rPr>
  </w:style>
  <w:style w:type="character" w:customStyle="1" w:styleId="34">
    <w:name w:val="Endnote Text Char"/>
    <w:link w:val="14"/>
    <w:semiHidden/>
    <w:unhideWhenUsed/>
    <w:qFormat/>
    <w:uiPriority w:val="99"/>
    <w:rPr>
      <w:sz w:val="20"/>
      <w:szCs w:val="20"/>
    </w:rPr>
  </w:style>
  <w:style w:type="paragraph" w:customStyle="1" w:styleId="35">
    <w:name w:val="Heading"/>
    <w:basedOn w:val="1"/>
    <w:next w:val="10"/>
    <w:qFormat/>
    <w:uiPriority w:val="0"/>
    <w:pPr>
      <w:keepNext/>
      <w:spacing w:before="240" w:after="120"/>
    </w:pPr>
    <w:rPr>
      <w:rFonts w:ascii="Liberation Sans" w:hAnsi="Liberation Sans" w:eastAsia="Noto Sans CJK SC" w:cs="FreeSans"/>
      <w:sz w:val="28"/>
      <w:szCs w:val="28"/>
    </w:rPr>
  </w:style>
  <w:style w:type="paragraph" w:customStyle="1" w:styleId="36">
    <w:name w:val="Index"/>
    <w:basedOn w:val="1"/>
    <w:qFormat/>
    <w:uiPriority w:val="0"/>
    <w:pPr>
      <w:suppressLineNumbers/>
    </w:pPr>
    <w:rPr>
      <w:rFonts w:cs="FreeSans"/>
    </w:rPr>
  </w:style>
  <w:style w:type="paragraph" w:styleId="37">
    <w:name w:val="List Paragraph"/>
    <w:basedOn w:val="1"/>
    <w:qFormat/>
    <w:uiPriority w:val="0"/>
  </w:style>
  <w:style w:type="paragraph" w:customStyle="1" w:styleId="38">
    <w:name w:val="Bibliography"/>
    <w:basedOn w:val="1"/>
    <w:next w:val="1"/>
    <w:unhideWhenUsed/>
    <w:qFormat/>
    <w:uiPriority w:val="37"/>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17</Pages>
  <Words>52</Words>
  <Characters>58</Characters>
  <Paragraphs>92</Paragraphs>
  <TotalTime>43</TotalTime>
  <ScaleCrop>false</ScaleCrop>
  <LinksUpToDate>false</LinksUpToDate>
  <CharactersWithSpaces>63</CharactersWithSpaces>
  <Application>WPS Office_12.1.28496.28496_F1E327BC-269C-435d-A152-05C5408002CA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2026-10-26T10:50:00Z</dcterms:created>
  <dc:creator>Un-named</dc:creator>
  <cp:lastModifiedBy>Yous</cp:lastModifiedBy>
  <dcterms:modified xsi:type="dcterms:W3CDTF">2026-10-26T17:14:38Z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eyJoZGlkIjoiYzA4NzY0NjNmMzcxOThmN2FjNDIwMWNhNTk5NTg0ZWQiLCJ1c2VySWQiOiIyODg0MDczMDUifQ==</vt:lpwstr>
  </property>
  <property fmtid="{D5CDD505-2E9C-101B-9397-08002B2CF9AE}" pid="3" name="KSOProductBuildVer">
    <vt:lpwstr>2052-12.1.28496.28496</vt:lpwstr>
  </property>
  <property fmtid="{D5CDD505-2E9C-101B-9397-08002B2CF9AE}" pid="4" name="ICV">
    <vt:lpwstr>6ECB7C6AB6954FA08C5DA70C32349363_13</vt:lpwstr>
  </property>
</Properties>
</file>